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34F" w:rsidRDefault="003E534F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3E534F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>
                  <wp:extent cx="2743200" cy="1371600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pStyle w:val="Heading2"/>
              <w:keepNext/>
              <w:keepLines/>
              <w:rPr>
                <w:color w:val="0C4599"/>
                <w:sz w:val="28"/>
                <w:szCs w:val="28"/>
              </w:rPr>
            </w:pPr>
            <w:bookmarkStart w:id="0" w:name="_wagh45ae46zw" w:colFirst="0" w:colLast="0"/>
            <w:bookmarkEnd w:id="0"/>
            <w:r>
              <w:rPr>
                <w:color w:val="0C4599"/>
                <w:sz w:val="28"/>
                <w:szCs w:val="28"/>
              </w:rPr>
              <w:t>NGPF Activity Bank</w:t>
            </w:r>
          </w:p>
          <w:p w:rsidR="003E534F" w:rsidRDefault="00136C33">
            <w:pPr>
              <w:pStyle w:val="Heading2"/>
              <w:keepNext/>
              <w:keepLines/>
              <w:rPr>
                <w:color w:val="0C4599"/>
                <w:sz w:val="28"/>
                <w:szCs w:val="28"/>
              </w:rPr>
            </w:pPr>
            <w:bookmarkStart w:id="1" w:name="_own2ti1c7gug" w:colFirst="0" w:colLast="0"/>
            <w:bookmarkEnd w:id="1"/>
            <w:r>
              <w:rPr>
                <w:color w:val="0C4599"/>
                <w:sz w:val="28"/>
                <w:szCs w:val="28"/>
              </w:rPr>
              <w:t>Investing</w:t>
            </w:r>
          </w:p>
          <w:p w:rsidR="003E534F" w:rsidRDefault="003E534F">
            <w:pPr>
              <w:jc w:val="right"/>
              <w:rPr>
                <w:i/>
                <w:color w:val="0C4599"/>
                <w:sz w:val="28"/>
                <w:szCs w:val="28"/>
              </w:rPr>
            </w:pPr>
            <w:bookmarkStart w:id="2" w:name="_GoBack"/>
            <w:bookmarkEnd w:id="2"/>
          </w:p>
          <w:p w:rsidR="003E534F" w:rsidRDefault="003E534F">
            <w:pPr>
              <w:pStyle w:val="Heading2"/>
              <w:keepNext/>
              <w:keepLines/>
              <w:jc w:val="center"/>
              <w:rPr>
                <w:color w:val="0C4599"/>
                <w:sz w:val="28"/>
                <w:szCs w:val="28"/>
              </w:rPr>
            </w:pPr>
            <w:bookmarkStart w:id="3" w:name="_wur6pcdjbla0" w:colFirst="0" w:colLast="0"/>
            <w:bookmarkEnd w:id="3"/>
          </w:p>
        </w:tc>
      </w:tr>
    </w:tbl>
    <w:p w:rsidR="003E534F" w:rsidRDefault="00136C33">
      <w:pPr>
        <w:widowControl/>
        <w:rPr>
          <w:color w:val="FF0000"/>
          <w:sz w:val="48"/>
          <w:szCs w:val="48"/>
        </w:rPr>
      </w:pPr>
      <w:r>
        <w:rPr>
          <w:sz w:val="48"/>
          <w:szCs w:val="48"/>
        </w:rPr>
        <w:t>INTERACTIVE: Beat the Market on Tech IPOs</w:t>
      </w:r>
    </w:p>
    <w:p w:rsidR="003E534F" w:rsidRDefault="003E534F">
      <w:pPr>
        <w:widowControl/>
        <w:rPr>
          <w:sz w:val="22"/>
          <w:szCs w:val="22"/>
        </w:rPr>
      </w:pPr>
    </w:p>
    <w:tbl>
      <w:tblPr>
        <w:tblStyle w:val="a0"/>
        <w:tblW w:w="89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3E534F">
        <w:trPr>
          <w:jc w:val="center"/>
        </w:trPr>
        <w:tc>
          <w:tcPr>
            <w:tcW w:w="89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Interactive: </w:t>
            </w:r>
            <w:hyperlink r:id="rId8">
              <w:r>
                <w:rPr>
                  <w:b/>
                  <w:color w:val="1155CC"/>
                  <w:sz w:val="36"/>
                  <w:szCs w:val="36"/>
                  <w:u w:val="single"/>
                </w:rPr>
                <w:t>LA Times Beat the Market on Tech IPOs</w:t>
              </w:r>
            </w:hyperlink>
          </w:p>
        </w:tc>
      </w:tr>
    </w:tbl>
    <w:p w:rsidR="003E534F" w:rsidRDefault="003E534F">
      <w:pPr>
        <w:widowControl/>
        <w:rPr>
          <w:sz w:val="24"/>
          <w:szCs w:val="24"/>
        </w:rPr>
      </w:pPr>
    </w:p>
    <w:p w:rsidR="003E534F" w:rsidRDefault="00136C33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might have heard about companies announcing an IPO and seen the excitement and buzz that is generated around these events. But, what exactly does it mean for a company when it has an IPO? And how does this relate</w:t>
      </w:r>
      <w:r>
        <w:rPr>
          <w:sz w:val="22"/>
          <w:szCs w:val="22"/>
        </w:rPr>
        <w:t xml:space="preserve"> to you as an investor? In this activity, we’ll be answering these questions by playing an interactive from the LA Times! </w:t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Part I: What is an IPO?</w:t>
      </w:r>
    </w:p>
    <w:p w:rsidR="003E534F" w:rsidRDefault="00136C33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Let’s first take a look at what an IPO is and why it generates the excitement it does. Use this </w:t>
      </w:r>
      <w:hyperlink r:id="rId9">
        <w:r>
          <w:rPr>
            <w:color w:val="1155CC"/>
            <w:sz w:val="22"/>
            <w:szCs w:val="22"/>
            <w:u w:val="single"/>
          </w:rPr>
          <w:t>Investopedia article on IPOs</w:t>
        </w:r>
      </w:hyperlink>
      <w:r>
        <w:rPr>
          <w:sz w:val="22"/>
          <w:szCs w:val="22"/>
        </w:rPr>
        <w:t xml:space="preserve"> (or do your own research) to answer the following questions. </w:t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your own words, explain what an IPO is and why it can be exciting. </w:t>
      </w:r>
    </w:p>
    <w:tbl>
      <w:tblPr>
        <w:tblStyle w:val="a1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3E534F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 an investor, would you want to buy shares of a company on the very first day of its IPO? Or would you want to wait a while? Explain your reasoning. </w:t>
      </w:r>
    </w:p>
    <w:tbl>
      <w:tblPr>
        <w:tblStyle w:val="a2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3E534F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Part II: Become a Tech Investor</w:t>
      </w:r>
    </w:p>
    <w:p w:rsidR="003E534F" w:rsidRDefault="00136C33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It’s time to become an investor by playing the </w:t>
      </w:r>
      <w:hyperlink r:id="rId10">
        <w:r>
          <w:rPr>
            <w:color w:val="1155CC"/>
            <w:sz w:val="22"/>
            <w:szCs w:val="22"/>
            <w:u w:val="single"/>
          </w:rPr>
          <w:t>LA Times’ Interactive</w:t>
        </w:r>
      </w:hyperlink>
      <w:r>
        <w:rPr>
          <w:sz w:val="22"/>
          <w:szCs w:val="22"/>
        </w:rPr>
        <w:t xml:space="preserve">! In this interactive, you’ll be deciding when to buy the shares of seven companies that have announced an IPO. </w:t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tbl>
      <w:tblPr>
        <w:tblStyle w:val="a3"/>
        <w:tblW w:w="985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5"/>
      </w:tblGrid>
      <w:tr w:rsidR="003E534F">
        <w:tc>
          <w:tcPr>
            <w:tcW w:w="9855" w:type="dxa"/>
            <w:tcBorders>
              <w:top w:val="dotted" w:sz="24" w:space="0" w:color="E86A00"/>
              <w:left w:val="dotted" w:sz="24" w:space="0" w:color="E86A00"/>
              <w:bottom w:val="dotted" w:sz="24" w:space="0" w:color="E86A00"/>
              <w:right w:val="dotted" w:sz="24" w:space="0" w:color="E86A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few things to remember as you play: </w:t>
            </w:r>
          </w:p>
          <w:p w:rsidR="003E534F" w:rsidRDefault="00136C33">
            <w:pPr>
              <w:widowControl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sure </w:t>
            </w:r>
            <w:r>
              <w:rPr>
                <w:sz w:val="22"/>
                <w:szCs w:val="22"/>
              </w:rPr>
              <w:t xml:space="preserve">to fill out the table in question 3 </w:t>
            </w:r>
            <w:r>
              <w:rPr>
                <w:b/>
                <w:sz w:val="22"/>
                <w:szCs w:val="22"/>
                <w:u w:val="single"/>
              </w:rPr>
              <w:t>after each round</w:t>
            </w:r>
            <w:r>
              <w:rPr>
                <w:sz w:val="22"/>
                <w:szCs w:val="22"/>
              </w:rPr>
              <w:t xml:space="preserve"> so you can capture the information you’ll need.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E534F" w:rsidRDefault="00136C33">
            <w:pPr>
              <w:widowControl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Remember the cardinal rule of investing: Buy LOW and sell HIGH. In this interactive, you are </w:t>
            </w:r>
            <w:r>
              <w:rPr>
                <w:b/>
                <w:sz w:val="22"/>
                <w:szCs w:val="22"/>
              </w:rPr>
              <w:t xml:space="preserve">ONLY </w:t>
            </w:r>
            <w:r>
              <w:rPr>
                <w:sz w:val="22"/>
                <w:szCs w:val="22"/>
              </w:rPr>
              <w:t xml:space="preserve">choosing when to BUY, which means you’re trying to get </w:t>
            </w:r>
            <w:r>
              <w:rPr>
                <w:sz w:val="22"/>
                <w:szCs w:val="22"/>
              </w:rPr>
              <w:t>the LOWEST price possible. Good luck!</w:t>
            </w: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each company, record the price YOU bought a share at as well as the Best Price (the lowest price). The interactive will give you these values after each round. </w:t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tbl>
      <w:tblPr>
        <w:tblStyle w:val="a4"/>
        <w:tblW w:w="1009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6"/>
        <w:gridCol w:w="2495"/>
        <w:gridCol w:w="2620"/>
        <w:gridCol w:w="2484"/>
      </w:tblGrid>
      <w:tr w:rsidR="003E534F">
        <w:trPr>
          <w:trHeight w:val="640"/>
        </w:trPr>
        <w:tc>
          <w:tcPr>
            <w:tcW w:w="24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Company (ticker)</w:t>
            </w:r>
          </w:p>
        </w:tc>
        <w:tc>
          <w:tcPr>
            <w:tcW w:w="24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IPO Close-of-Day Price</w:t>
            </w:r>
          </w:p>
        </w:tc>
        <w:tc>
          <w:tcPr>
            <w:tcW w:w="261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Your Price</w:t>
            </w:r>
          </w:p>
        </w:tc>
        <w:tc>
          <w:tcPr>
            <w:tcW w:w="248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Best (lowest) Price</w:t>
            </w: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</w:pPr>
            <w:r>
              <w:t>Snap (SNAP)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$24.00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Facebook (FB)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$42.05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LinkedIn (LNKD)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$83.00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Twitter (TWTR)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$45.10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Pandora (P)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$20.00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Workday (WDAY)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$48.05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GoPro (GPRO)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$28.65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How many times did your share purchase price “beat” the IPO price? </w:t>
      </w:r>
    </w:p>
    <w:tbl>
      <w:tblPr>
        <w:tblStyle w:val="a5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3E534F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which company did you get </w:t>
      </w:r>
      <w:r>
        <w:rPr>
          <w:b/>
          <w:sz w:val="22"/>
          <w:szCs w:val="22"/>
        </w:rPr>
        <w:t>closest</w:t>
      </w:r>
      <w:r>
        <w:rPr>
          <w:sz w:val="22"/>
          <w:szCs w:val="22"/>
        </w:rPr>
        <w:t xml:space="preserve"> to the Best Price? How close were you? </w:t>
      </w:r>
    </w:p>
    <w:tbl>
      <w:tblPr>
        <w:tblStyle w:val="a6"/>
        <w:tblW w:w="1006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3E534F">
        <w:tc>
          <w:tcPr>
            <w:tcW w:w="10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Would you describe your stock purchases as a success? Why or why not? </w:t>
      </w:r>
    </w:p>
    <w:tbl>
      <w:tblPr>
        <w:tblStyle w:val="a7"/>
        <w:tblW w:w="1006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3E534F">
        <w:tc>
          <w:tcPr>
            <w:tcW w:w="10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3E534F">
      <w:pPr>
        <w:widowControl/>
        <w:spacing w:line="276" w:lineRule="auto"/>
        <w:rPr>
          <w:b/>
          <w:sz w:val="22"/>
          <w:szCs w:val="22"/>
        </w:rPr>
      </w:pPr>
    </w:p>
    <w:p w:rsidR="003E534F" w:rsidRDefault="003E534F">
      <w:pPr>
        <w:widowControl/>
        <w:spacing w:line="276" w:lineRule="auto"/>
        <w:rPr>
          <w:b/>
          <w:sz w:val="22"/>
          <w:szCs w:val="22"/>
        </w:rPr>
      </w:pPr>
    </w:p>
    <w:p w:rsidR="003E534F" w:rsidRDefault="00136C33">
      <w:pPr>
        <w:widowControl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Part III: Now, Let’s Sell</w:t>
      </w:r>
    </w:p>
    <w:p w:rsidR="003E534F" w:rsidRDefault="00136C33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It’s been a while since you bought your shares and you’ve decided to sell them today. Remember, you can make money in the stock market through dividends AND by selling your shares at a price higher than what you paid. Use </w:t>
      </w:r>
      <w:hyperlink r:id="rId11">
        <w:r>
          <w:rPr>
            <w:color w:val="1155CC"/>
            <w:sz w:val="22"/>
            <w:szCs w:val="22"/>
            <w:u w:val="single"/>
          </w:rPr>
          <w:t>Yahoo! Finance</w:t>
        </w:r>
      </w:hyperlink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to look up the current stock price for each of these tech companies, and then calculate your ROI (return on investment) using the formula below. </w:t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spacing w:line="276" w:lineRule="auto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Note:</w:t>
      </w:r>
      <w:r>
        <w:rPr>
          <w:i/>
          <w:sz w:val="22"/>
          <w:szCs w:val="22"/>
        </w:rPr>
        <w:t xml:space="preserve"> Since the time this interactive was created, LinkedIn and Pandora were acquired by other companies, so we will be skipping these two companies in our calculations below. </w:t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tbl>
      <w:tblPr>
        <w:tblStyle w:val="a8"/>
        <w:tblW w:w="985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5"/>
      </w:tblGrid>
      <w:tr w:rsidR="003E534F">
        <w:tc>
          <w:tcPr>
            <w:tcW w:w="9855" w:type="dxa"/>
            <w:tcBorders>
              <w:top w:val="dotted" w:sz="24" w:space="0" w:color="E86A00"/>
              <w:left w:val="dotted" w:sz="24" w:space="0" w:color="E86A00"/>
              <w:bottom w:val="dotted" w:sz="24" w:space="0" w:color="E86A00"/>
              <w:right w:val="dotted" w:sz="24" w:space="0" w:color="E86A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136C33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C4599"/>
                    <w:sz w:val="48"/>
                    <w:szCs w:val="48"/>
                  </w:rPr>
                  <m:t>ROI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C4599"/>
                    <w:sz w:val="48"/>
                    <w:szCs w:val="4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0C4599"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Today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'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Price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 xml:space="preserve"> -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Your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Price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Your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C4599"/>
                        <w:sz w:val="48"/>
                        <w:szCs w:val="48"/>
                      </w:rPr>
                      <m:t>Price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C4599"/>
                    <w:sz w:val="48"/>
                    <w:szCs w:val="4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C4599"/>
                    <w:sz w:val="48"/>
                    <w:szCs w:val="48"/>
                  </w:rPr>
                  <m:t xml:space="preserve"> 100</m:t>
                </m:r>
              </m:oMath>
            </m:oMathPara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3E534F">
      <w:pPr>
        <w:widowControl/>
        <w:spacing w:line="276" w:lineRule="auto"/>
        <w:ind w:left="720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Record Your Price, Today’s Price, and your ROI for each company. </w:t>
      </w:r>
    </w:p>
    <w:p w:rsidR="003E534F" w:rsidRDefault="003E534F">
      <w:pPr>
        <w:widowControl/>
        <w:spacing w:line="276" w:lineRule="auto"/>
        <w:ind w:left="720"/>
        <w:rPr>
          <w:color w:val="FF0000"/>
          <w:sz w:val="22"/>
          <w:szCs w:val="22"/>
        </w:rPr>
      </w:pPr>
    </w:p>
    <w:tbl>
      <w:tblPr>
        <w:tblStyle w:val="a9"/>
        <w:tblW w:w="10106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6"/>
        <w:gridCol w:w="2495"/>
        <w:gridCol w:w="2520"/>
        <w:gridCol w:w="2595"/>
      </w:tblGrid>
      <w:tr w:rsidR="003E534F">
        <w:trPr>
          <w:trHeight w:val="640"/>
        </w:trPr>
        <w:tc>
          <w:tcPr>
            <w:tcW w:w="24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Company (ticker)</w:t>
            </w:r>
          </w:p>
        </w:tc>
        <w:tc>
          <w:tcPr>
            <w:tcW w:w="24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Today’s Price</w:t>
            </w:r>
          </w:p>
        </w:tc>
        <w:tc>
          <w:tcPr>
            <w:tcW w:w="25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Your Price</w:t>
            </w:r>
          </w:p>
        </w:tc>
        <w:tc>
          <w:tcPr>
            <w:tcW w:w="25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ROI</w:t>
            </w:r>
            <w:r>
              <w:rPr>
                <w:b/>
                <w:color w:val="FFFFFF"/>
                <w:sz w:val="22"/>
                <w:szCs w:val="22"/>
              </w:rPr>
              <w:br/>
              <w:t xml:space="preserve"> (Return on Investment)</w:t>
            </w: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 (SNAP)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Facebook (FB)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Twitter (TWTR)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Workday (WDAY)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3E534F">
        <w:trPr>
          <w:trHeight w:val="64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34F" w:rsidRDefault="00136C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GoPro (GPRO)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rPr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widowControl/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</w:tbl>
    <w:p w:rsidR="003E534F" w:rsidRDefault="00136C33">
      <w:pPr>
        <w:widowControl/>
        <w:spacing w:line="276" w:lineRule="auto"/>
        <w:rPr>
          <w:sz w:val="22"/>
          <w:szCs w:val="22"/>
        </w:rPr>
      </w:pPr>
      <w:r>
        <w:br w:type="page"/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Based on the ROI for the shares above, would you describe your stock purchases as a success? Why or why not? </w:t>
      </w:r>
    </w:p>
    <w:tbl>
      <w:tblPr>
        <w:tblStyle w:val="aa"/>
        <w:tblW w:w="1006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3E534F">
        <w:tc>
          <w:tcPr>
            <w:tcW w:w="10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Part IV: Help a Friend</w:t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p w:rsidR="003E534F" w:rsidRDefault="00136C33">
      <w:pPr>
        <w:widowControl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You and your best friend have the following text exchange. What advice would you give your friend on investing in Crabtree’s IPO? Why? </w:t>
      </w:r>
    </w:p>
    <w:p w:rsidR="003E534F" w:rsidRDefault="00136C33">
      <w:pPr>
        <w:widowControl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452688" cy="1457394"/>
            <wp:effectExtent l="25400" t="25400" r="25400" b="254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457394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E534F" w:rsidRDefault="003E534F">
      <w:pPr>
        <w:widowControl/>
        <w:spacing w:line="276" w:lineRule="auto"/>
        <w:rPr>
          <w:sz w:val="22"/>
          <w:szCs w:val="22"/>
        </w:rPr>
      </w:pPr>
    </w:p>
    <w:tbl>
      <w:tblPr>
        <w:tblStyle w:val="ab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3E534F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  <w:p w:rsidR="003E534F" w:rsidRDefault="003E534F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</w:tbl>
    <w:p w:rsidR="003E534F" w:rsidRDefault="003E534F">
      <w:pPr>
        <w:widowControl/>
        <w:spacing w:line="276" w:lineRule="auto"/>
        <w:rPr>
          <w:sz w:val="24"/>
          <w:szCs w:val="24"/>
        </w:rPr>
      </w:pPr>
    </w:p>
    <w:p w:rsidR="003E534F" w:rsidRDefault="003E534F">
      <w:pPr>
        <w:widowControl/>
        <w:spacing w:after="200" w:line="276" w:lineRule="auto"/>
        <w:rPr>
          <w:sz w:val="22"/>
          <w:szCs w:val="22"/>
        </w:rPr>
      </w:pPr>
    </w:p>
    <w:p w:rsidR="003E534F" w:rsidRDefault="003E534F">
      <w:pPr>
        <w:widowControl/>
        <w:rPr>
          <w:color w:val="0C4599"/>
          <w:sz w:val="12"/>
          <w:szCs w:val="12"/>
        </w:rPr>
      </w:pPr>
    </w:p>
    <w:sectPr w:rsidR="003E534F">
      <w:footerReference w:type="default" r:id="rId13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33" w:rsidRDefault="00136C33">
      <w:r>
        <w:separator/>
      </w:r>
    </w:p>
  </w:endnote>
  <w:endnote w:type="continuationSeparator" w:id="0">
    <w:p w:rsidR="00136C33" w:rsidRDefault="001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4F" w:rsidRDefault="00136C33">
    <w:pPr>
      <w:jc w:val="center"/>
      <w:rPr>
        <w:color w:val="B7B7B7"/>
      </w:rPr>
    </w:pPr>
    <w:hyperlink r:id="rId1">
      <w:r>
        <w:rPr>
          <w:color w:val="999999"/>
        </w:rPr>
        <w:t>www.ngpf.org</w:t>
      </w:r>
    </w:hyperlink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 xml:space="preserve"> Last updated: 11/9/20</w:t>
    </w:r>
  </w:p>
  <w:p w:rsidR="003E534F" w:rsidRDefault="00136C33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31B7C">
      <w:fldChar w:fldCharType="separate"/>
    </w:r>
    <w:r w:rsidR="00131B7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33" w:rsidRDefault="00136C33">
      <w:r>
        <w:separator/>
      </w:r>
    </w:p>
  </w:footnote>
  <w:footnote w:type="continuationSeparator" w:id="0">
    <w:p w:rsidR="00136C33" w:rsidRDefault="00136C33">
      <w:r>
        <w:continuationSeparator/>
      </w:r>
    </w:p>
  </w:footnote>
  <w:footnote w:id="1">
    <w:p w:rsidR="003E534F" w:rsidRDefault="00136C33">
      <w:r>
        <w:rPr>
          <w:vertAlign w:val="superscript"/>
        </w:rPr>
        <w:footnoteRef/>
      </w:r>
      <w:r>
        <w:t xml:space="preserve"> Note that the current stock price is the large price directly underneath the company name and ticker symbol.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5EA"/>
    <w:multiLevelType w:val="multilevel"/>
    <w:tmpl w:val="01F2D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62057D"/>
    <w:multiLevelType w:val="multilevel"/>
    <w:tmpl w:val="543CF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F"/>
    <w:rsid w:val="00131B7C"/>
    <w:rsid w:val="00136C33"/>
    <w:rsid w:val="003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FC48"/>
  <w15:docId w15:val="{A46F9E72-A8F8-4B3D-8965-2FC3A6B0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mes.com/projects/la-fi-snap-when-to-bu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yahoo.com/quote/SNAP?p=SNAP&amp;.tsrc=fin-sr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times.com/projects/la-fi-snap-when-to-bu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stopedia.com/terms/i/ipo.as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Canada Lottery Corporation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Marynovsky</dc:creator>
  <cp:lastModifiedBy>Ivan Marynovsky</cp:lastModifiedBy>
  <cp:revision>2</cp:revision>
  <dcterms:created xsi:type="dcterms:W3CDTF">2021-11-30T04:20:00Z</dcterms:created>
  <dcterms:modified xsi:type="dcterms:W3CDTF">2021-11-30T04:20:00Z</dcterms:modified>
</cp:coreProperties>
</file>