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color w:val="0c4599"/>
          <w:sz w:val="12"/>
          <w:szCs w:val="12"/>
        </w:rPr>
      </w:pPr>
      <w:r w:rsidDel="00000000" w:rsidR="00000000" w:rsidRPr="00000000">
        <w:rPr>
          <w:rtl w:val="0"/>
        </w:rPr>
      </w:r>
    </w:p>
    <w:tbl>
      <w:tblPr>
        <w:tblStyle w:val="Table1"/>
        <w:tblW w:w="10785.0" w:type="dxa"/>
        <w:jc w:val="righ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070"/>
        <w:gridCol w:w="5715"/>
        <w:tblGridChange w:id="0">
          <w:tblGrid>
            <w:gridCol w:w="5070"/>
            <w:gridCol w:w="5715"/>
          </w:tblGrid>
        </w:tblGridChange>
      </w:tblGrid>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color w:val="0c4599"/>
                <w:sz w:val="56"/>
                <w:szCs w:val="56"/>
              </w:rPr>
            </w:pPr>
            <w:r w:rsidDel="00000000" w:rsidR="00000000" w:rsidRPr="00000000">
              <w:rPr>
                <w:color w:val="0c4599"/>
                <w:sz w:val="56"/>
                <w:szCs w:val="56"/>
              </w:rPr>
              <w:drawing>
                <wp:inline distB="114300" distT="114300" distL="114300" distR="114300">
                  <wp:extent cx="2214081" cy="833438"/>
                  <wp:effectExtent b="0" l="0" r="0" t="0"/>
                  <wp:docPr descr="NGPF_LG.png" id="3" name="image1.png"/>
                  <a:graphic>
                    <a:graphicData uri="http://schemas.openxmlformats.org/drawingml/2006/picture">
                      <pic:pic>
                        <pic:nvPicPr>
                          <pic:cNvPr descr="NGPF_LG.png" id="0" name="image1.png"/>
                          <pic:cNvPicPr preferRelativeResize="0"/>
                        </pic:nvPicPr>
                        <pic:blipFill>
                          <a:blip r:embed="rId6"/>
                          <a:srcRect b="0" l="0" r="723" t="0"/>
                          <a:stretch>
                            <a:fillRect/>
                          </a:stretch>
                        </pic:blipFill>
                        <pic:spPr>
                          <a:xfrm>
                            <a:off x="0" y="0"/>
                            <a:ext cx="2214081" cy="8334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3">
            <w:pPr>
              <w:pageBreakBefore w:val="0"/>
              <w:widowControl w:val="1"/>
              <w:pBdr>
                <w:top w:space="0" w:sz="0" w:val="nil"/>
                <w:left w:space="0" w:sz="0" w:val="nil"/>
                <w:bottom w:space="0" w:sz="0" w:val="nil"/>
                <w:right w:space="0" w:sz="0" w:val="nil"/>
                <w:between w:space="0" w:sz="0" w:val="nil"/>
              </w:pBdr>
              <w:shd w:fill="auto" w:val="clear"/>
              <w:spacing w:line="276" w:lineRule="auto"/>
              <w:jc w:val="right"/>
              <w:rPr>
                <w:rFonts w:ascii="Montserrat" w:cs="Montserrat" w:eastAsia="Montserrat" w:hAnsi="Montserrat"/>
                <w:b w:val="1"/>
                <w:color w:val="0c4599"/>
              </w:rPr>
            </w:pPr>
            <w:r w:rsidDel="00000000" w:rsidR="00000000" w:rsidRPr="00000000">
              <w:rPr>
                <w:rFonts w:ascii="Montserrat" w:cs="Montserrat" w:eastAsia="Montserrat" w:hAnsi="Montserrat"/>
                <w:b w:val="1"/>
                <w:i w:val="1"/>
                <w:color w:val="0c4599"/>
                <w:sz w:val="28"/>
                <w:szCs w:val="28"/>
                <w:rtl w:val="0"/>
              </w:rPr>
              <w:t xml:space="preserve">NGPF Activity Bank</w:t>
            </w:r>
            <w:r w:rsidDel="00000000" w:rsidR="00000000" w:rsidRPr="00000000">
              <w:rPr>
                <w:rtl w:val="0"/>
              </w:rPr>
            </w:r>
          </w:p>
          <w:p w:rsidR="00000000" w:rsidDel="00000000" w:rsidP="00000000" w:rsidRDefault="00000000" w:rsidRPr="00000000" w14:paraId="00000004">
            <w:pPr>
              <w:pStyle w:val="Heading2"/>
              <w:pageBreakBefore w:val="0"/>
              <w:pBdr>
                <w:top w:space="0" w:sz="0" w:val="nil"/>
                <w:left w:space="0" w:sz="0" w:val="nil"/>
                <w:bottom w:space="0" w:sz="0" w:val="nil"/>
                <w:right w:space="0" w:sz="0" w:val="nil"/>
                <w:between w:space="0" w:sz="0" w:val="nil"/>
              </w:pBdr>
              <w:shd w:fill="auto" w:val="clear"/>
              <w:spacing w:line="276" w:lineRule="auto"/>
              <w:rPr>
                <w:rFonts w:ascii="Montserrat" w:cs="Montserrat" w:eastAsia="Montserrat" w:hAnsi="Montserrat"/>
                <w:b w:val="1"/>
                <w:color w:val="0c4599"/>
                <w:sz w:val="28"/>
                <w:szCs w:val="28"/>
              </w:rPr>
            </w:pPr>
            <w:bookmarkStart w:colFirst="0" w:colLast="0" w:name="_4nwzcpwsw33t" w:id="0"/>
            <w:bookmarkEnd w:id="0"/>
            <w:r w:rsidDel="00000000" w:rsidR="00000000" w:rsidRPr="00000000">
              <w:rPr>
                <w:rFonts w:ascii="Montserrat" w:cs="Montserrat" w:eastAsia="Montserrat" w:hAnsi="Montserrat"/>
                <w:b w:val="1"/>
                <w:color w:val="0c4599"/>
                <w:sz w:val="28"/>
                <w:szCs w:val="28"/>
                <w:rtl w:val="0"/>
              </w:rPr>
              <w:t xml:space="preserve">Investing</w:t>
            </w:r>
          </w:p>
          <w:p w:rsidR="00000000" w:rsidDel="00000000" w:rsidP="00000000" w:rsidRDefault="00000000" w:rsidRPr="00000000" w14:paraId="00000005">
            <w:pPr>
              <w:pageBreakBefore w:val="0"/>
              <w:jc w:val="right"/>
              <w:rPr/>
            </w:pPr>
            <w:hyperlink r:id="rId7">
              <w:r w:rsidDel="00000000" w:rsidR="00000000" w:rsidRPr="00000000">
                <w:rPr>
                  <w:rFonts w:ascii="Montserrat" w:cs="Montserrat" w:eastAsia="Montserrat" w:hAnsi="Montserrat"/>
                  <w:i w:val="1"/>
                  <w:color w:val="1155cc"/>
                  <w:sz w:val="18"/>
                  <w:szCs w:val="18"/>
                  <w:u w:val="single"/>
                  <w:rtl w:val="0"/>
                </w:rPr>
                <w:t xml:space="preserve">Implementation Ideas</w:t>
              </w:r>
            </w:hyperlink>
            <w:r w:rsidDel="00000000" w:rsidR="00000000" w:rsidRPr="00000000">
              <w:rPr>
                <w:rtl w:val="0"/>
              </w:rPr>
            </w:r>
          </w:p>
        </w:tc>
      </w:tr>
    </w:tbl>
    <w:p w:rsidR="00000000" w:rsidDel="00000000" w:rsidP="00000000" w:rsidRDefault="00000000" w:rsidRPr="00000000" w14:paraId="00000006">
      <w:pPr>
        <w:pStyle w:val="Title"/>
        <w:pageBreakBefore w:val="0"/>
        <w:pBdr>
          <w:top w:space="0" w:sz="0" w:val="nil"/>
          <w:left w:space="0" w:sz="0" w:val="nil"/>
          <w:bottom w:space="0" w:sz="0" w:val="nil"/>
          <w:right w:space="0" w:sz="0" w:val="nil"/>
          <w:between w:space="0" w:sz="0" w:val="nil"/>
        </w:pBdr>
        <w:shd w:fill="auto" w:val="clear"/>
        <w:spacing w:line="276" w:lineRule="auto"/>
        <w:rPr>
          <w:sz w:val="40"/>
          <w:szCs w:val="40"/>
        </w:rPr>
      </w:pPr>
      <w:bookmarkStart w:colFirst="0" w:colLast="0" w:name="_kujj1wl544s3" w:id="1"/>
      <w:bookmarkEnd w:id="1"/>
      <w:r w:rsidDel="00000000" w:rsidR="00000000" w:rsidRPr="00000000">
        <w:rPr>
          <w:rFonts w:ascii="Montserrat" w:cs="Montserrat" w:eastAsia="Montserrat" w:hAnsi="Montserrat"/>
          <w:sz w:val="40"/>
          <w:szCs w:val="40"/>
          <w:rtl w:val="0"/>
        </w:rPr>
        <w:t xml:space="preserve">INTERACTIVE: </w:t>
      </w:r>
      <w:r w:rsidDel="00000000" w:rsidR="00000000" w:rsidRPr="00000000">
        <w:rPr>
          <w:rFonts w:ascii="Montserrat" w:cs="Montserrat" w:eastAsia="Montserrat" w:hAnsi="Montserrat"/>
          <w:sz w:val="40"/>
          <w:szCs w:val="40"/>
          <w:rtl w:val="0"/>
        </w:rPr>
        <w:t xml:space="preserve">Exploring Asset Classes</w:t>
      </w:r>
      <w:r w:rsidDel="00000000" w:rsidR="00000000" w:rsidRPr="00000000">
        <w:rPr>
          <w:rtl w:val="0"/>
        </w:rPr>
      </w:r>
    </w:p>
    <w:tbl>
      <w:tblPr>
        <w:tblStyle w:val="Table2"/>
        <w:tblW w:w="106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eaeff5"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1"/>
              <w:spacing w:line="276" w:lineRule="auto"/>
              <w:jc w:val="center"/>
              <w:rPr>
                <w:rFonts w:ascii="Montserrat" w:cs="Montserrat" w:eastAsia="Montserrat" w:hAnsi="Montserrat"/>
                <w:color w:val="f78219"/>
                <w:sz w:val="36"/>
                <w:szCs w:val="36"/>
              </w:rPr>
            </w:pPr>
            <w:r w:rsidDel="00000000" w:rsidR="00000000" w:rsidRPr="00000000">
              <w:rPr>
                <w:rFonts w:ascii="Montserrat" w:cs="Montserrat" w:eastAsia="Montserrat" w:hAnsi="Montserrat"/>
                <w:sz w:val="36"/>
                <w:szCs w:val="36"/>
                <w:rtl w:val="0"/>
              </w:rPr>
              <w:t xml:space="preserve">Interactive: </w:t>
            </w:r>
            <w:hyperlink r:id="rId8">
              <w:r w:rsidDel="00000000" w:rsidR="00000000" w:rsidRPr="00000000">
                <w:rPr>
                  <w:rFonts w:ascii="Montserrat" w:cs="Montserrat" w:eastAsia="Montserrat" w:hAnsi="Montserrat"/>
                  <w:color w:val="1155cc"/>
                  <w:sz w:val="36"/>
                  <w:szCs w:val="36"/>
                  <w:u w:val="single"/>
                  <w:rtl w:val="0"/>
                </w:rPr>
                <w:t xml:space="preserve">Novel Investor's Asset Class Returns</w:t>
              </w:r>
            </w:hyperlink>
            <w:r w:rsidDel="00000000" w:rsidR="00000000" w:rsidRPr="00000000">
              <w:rPr>
                <w:rtl w:val="0"/>
              </w:rPr>
            </w:r>
          </w:p>
        </w:tc>
      </w:tr>
    </w:tbl>
    <w:p w:rsidR="00000000" w:rsidDel="00000000" w:rsidP="00000000" w:rsidRDefault="00000000" w:rsidRPr="00000000" w14:paraId="00000008">
      <w:pPr>
        <w:pageBreakBefore w:val="0"/>
        <w:spacing w:line="276" w:lineRule="auto"/>
        <w:rPr/>
      </w:pPr>
      <w:r w:rsidDel="00000000" w:rsidR="00000000" w:rsidRPr="00000000">
        <w:rPr>
          <w:rtl w:val="0"/>
        </w:rPr>
      </w:r>
    </w:p>
    <w:p w:rsidR="00000000" w:rsidDel="00000000" w:rsidP="00000000" w:rsidRDefault="00000000" w:rsidRPr="00000000" w14:paraId="00000009">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We all know that putting all your investment money into one company’s stock would be pretty risky. But, by choosing an entire asset class instead, would you be minimizing your risk and creating a winning strategy? Let’s find out. </w:t>
      </w:r>
      <w:r w:rsidDel="00000000" w:rsidR="00000000" w:rsidRPr="00000000">
        <w:rPr>
          <w:rtl w:val="0"/>
        </w:rPr>
      </w:r>
    </w:p>
    <w:p w:rsidR="00000000" w:rsidDel="00000000" w:rsidP="00000000" w:rsidRDefault="00000000" w:rsidRPr="00000000" w14:paraId="0000000A">
      <w:pPr>
        <w:pageBreakBefore w:val="0"/>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B">
      <w:pPr>
        <w:pageBreakBefore w:val="0"/>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Part I: Define the Asset Classes</w:t>
      </w:r>
      <w:r w:rsidDel="00000000" w:rsidR="00000000" w:rsidRPr="00000000">
        <w:rPr>
          <w:rtl w:val="0"/>
        </w:rPr>
      </w:r>
    </w:p>
    <w:p w:rsidR="00000000" w:rsidDel="00000000" w:rsidP="00000000" w:rsidRDefault="00000000" w:rsidRPr="00000000" w14:paraId="0000000C">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An asset class is a grouping of investments that have similar characteristics, behave similarly in the market, and follow the same rules and regulations. Really common asset classes are stocks, bonds, and cash, but there are others as you’ll see below. </w:t>
      </w:r>
    </w:p>
    <w:p w:rsidR="00000000" w:rsidDel="00000000" w:rsidP="00000000" w:rsidRDefault="00000000" w:rsidRPr="00000000" w14:paraId="0000000D">
      <w:pPr>
        <w:pageBreakBefore w:val="0"/>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E">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Use your prior knowledge, educated guesses, or internet research to match the asset class in column A to its proper description in column B. </w:t>
      </w:r>
    </w:p>
    <w:p w:rsidR="00000000" w:rsidDel="00000000" w:rsidP="00000000" w:rsidRDefault="00000000" w:rsidRPr="00000000" w14:paraId="0000000F">
      <w:pPr>
        <w:pageBreakBefore w:val="0"/>
        <w:spacing w:line="276" w:lineRule="auto"/>
        <w:rPr>
          <w:rFonts w:ascii="Montserrat" w:cs="Montserrat" w:eastAsia="Montserrat" w:hAnsi="Montserrat"/>
          <w:b w:val="1"/>
          <w:i w:val="1"/>
          <w:color w:val="ff0000"/>
          <w:sz w:val="22"/>
          <w:szCs w:val="22"/>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spacing w:after="100" w:line="276" w:lineRule="auto"/>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Column A - Asset Classes</w:t>
            </w:r>
            <w:r w:rsidDel="00000000" w:rsidR="00000000" w:rsidRPr="00000000">
              <w:rPr>
                <w:rtl w:val="0"/>
              </w:rPr>
            </w:r>
          </w:p>
          <w:p w:rsidR="00000000" w:rsidDel="00000000" w:rsidP="00000000" w:rsidRDefault="00000000" w:rsidRPr="00000000" w14:paraId="00000011">
            <w:pPr>
              <w:pageBreakBefore w:val="0"/>
              <w:numPr>
                <w:ilvl w:val="0"/>
                <w:numId w:val="3"/>
              </w:numPr>
              <w:spacing w:after="200" w:line="276" w:lineRule="auto"/>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Lg Cap: Large cap stocks</w:t>
            </w:r>
          </w:p>
          <w:p w:rsidR="00000000" w:rsidDel="00000000" w:rsidP="00000000" w:rsidRDefault="00000000" w:rsidRPr="00000000" w14:paraId="00000012">
            <w:pPr>
              <w:pageBreakBefore w:val="0"/>
              <w:numPr>
                <w:ilvl w:val="0"/>
                <w:numId w:val="3"/>
              </w:numPr>
              <w:spacing w:after="200" w:before="0" w:line="276" w:lineRule="auto"/>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Sm Cap: Small cap stocks</w:t>
            </w:r>
          </w:p>
          <w:p w:rsidR="00000000" w:rsidDel="00000000" w:rsidP="00000000" w:rsidRDefault="00000000" w:rsidRPr="00000000" w14:paraId="00000013">
            <w:pPr>
              <w:pageBreakBefore w:val="0"/>
              <w:numPr>
                <w:ilvl w:val="0"/>
                <w:numId w:val="3"/>
              </w:numPr>
              <w:spacing w:after="200" w:before="0" w:line="276" w:lineRule="auto"/>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Int’l Stk: International developed stocks</w:t>
            </w:r>
          </w:p>
          <w:p w:rsidR="00000000" w:rsidDel="00000000" w:rsidP="00000000" w:rsidRDefault="00000000" w:rsidRPr="00000000" w14:paraId="00000014">
            <w:pPr>
              <w:pageBreakBefore w:val="0"/>
              <w:numPr>
                <w:ilvl w:val="0"/>
                <w:numId w:val="3"/>
              </w:numPr>
              <w:spacing w:after="200" w:before="0" w:line="276" w:lineRule="auto"/>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EM: Emerging market stocks</w:t>
            </w:r>
          </w:p>
          <w:p w:rsidR="00000000" w:rsidDel="00000000" w:rsidP="00000000" w:rsidRDefault="00000000" w:rsidRPr="00000000" w14:paraId="00000015">
            <w:pPr>
              <w:pageBreakBefore w:val="0"/>
              <w:numPr>
                <w:ilvl w:val="0"/>
                <w:numId w:val="3"/>
              </w:numPr>
              <w:spacing w:after="200" w:before="0" w:line="276" w:lineRule="auto"/>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REIT: Real estate investment trusts</w:t>
            </w:r>
          </w:p>
          <w:p w:rsidR="00000000" w:rsidDel="00000000" w:rsidP="00000000" w:rsidRDefault="00000000" w:rsidRPr="00000000" w14:paraId="00000016">
            <w:pPr>
              <w:pageBreakBefore w:val="0"/>
              <w:numPr>
                <w:ilvl w:val="0"/>
                <w:numId w:val="3"/>
              </w:numPr>
              <w:spacing w:after="200" w:before="0" w:line="276" w:lineRule="auto"/>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HG Bnd: High grade bonds</w:t>
            </w:r>
          </w:p>
          <w:p w:rsidR="00000000" w:rsidDel="00000000" w:rsidP="00000000" w:rsidRDefault="00000000" w:rsidRPr="00000000" w14:paraId="00000017">
            <w:pPr>
              <w:pageBreakBefore w:val="0"/>
              <w:numPr>
                <w:ilvl w:val="0"/>
                <w:numId w:val="3"/>
              </w:numPr>
              <w:spacing w:after="200" w:before="0" w:line="276" w:lineRule="auto"/>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HY Bnd: High yield bonds</w:t>
            </w:r>
          </w:p>
          <w:p w:rsidR="00000000" w:rsidDel="00000000" w:rsidP="00000000" w:rsidRDefault="00000000" w:rsidRPr="00000000" w14:paraId="00000018">
            <w:pPr>
              <w:pageBreakBefore w:val="0"/>
              <w:numPr>
                <w:ilvl w:val="0"/>
                <w:numId w:val="3"/>
              </w:numPr>
              <w:spacing w:after="200" w:before="0" w:line="276" w:lineRule="auto"/>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Cash: Cash</w:t>
            </w:r>
          </w:p>
          <w:p w:rsidR="00000000" w:rsidDel="00000000" w:rsidP="00000000" w:rsidRDefault="00000000" w:rsidRPr="00000000" w14:paraId="00000019">
            <w:pPr>
              <w:pageBreakBefore w:val="0"/>
              <w:numPr>
                <w:ilvl w:val="0"/>
                <w:numId w:val="3"/>
              </w:numPr>
              <w:spacing w:after="200" w:line="276" w:lineRule="auto"/>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AA: Asset Allocation Portfolio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spacing w:after="100" w:line="276" w:lineRule="auto"/>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Column B - Descriptions</w:t>
            </w:r>
            <w:r w:rsidDel="00000000" w:rsidR="00000000" w:rsidRPr="00000000">
              <w:rPr>
                <w:rtl w:val="0"/>
              </w:rPr>
            </w:r>
          </w:p>
          <w:p w:rsidR="00000000" w:rsidDel="00000000" w:rsidP="00000000" w:rsidRDefault="00000000" w:rsidRPr="00000000" w14:paraId="0000001B">
            <w:pPr>
              <w:pageBreakBefore w:val="0"/>
              <w:spacing w:after="100"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_____ International companies in countries with established industry, widespread infrastructure, and secure economies</w:t>
            </w:r>
          </w:p>
          <w:p w:rsidR="00000000" w:rsidDel="00000000" w:rsidP="00000000" w:rsidRDefault="00000000" w:rsidRPr="00000000" w14:paraId="0000001C">
            <w:pPr>
              <w:pageBreakBefore w:val="0"/>
              <w:spacing w:after="100"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D">
            <w:pPr>
              <w:pageBreakBefore w:val="0"/>
              <w:spacing w:after="100"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_____ Bonds with lower credit ratings and a greater chance of default, often issued by startups or struggling businesses </w:t>
            </w:r>
          </w:p>
          <w:p w:rsidR="00000000" w:rsidDel="00000000" w:rsidP="00000000" w:rsidRDefault="00000000" w:rsidRPr="00000000" w14:paraId="0000001E">
            <w:pPr>
              <w:pageBreakBefore w:val="0"/>
              <w:spacing w:after="100"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F">
            <w:pPr>
              <w:pageBreakBefore w:val="0"/>
              <w:spacing w:after="100"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_____ Cash or cash equivalents like Treasury bills backed by the federal government </w:t>
            </w:r>
          </w:p>
          <w:p w:rsidR="00000000" w:rsidDel="00000000" w:rsidP="00000000" w:rsidRDefault="00000000" w:rsidRPr="00000000" w14:paraId="00000020">
            <w:pPr>
              <w:pageBreakBefore w:val="0"/>
              <w:spacing w:after="100"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1">
            <w:pPr>
              <w:pageBreakBefore w:val="0"/>
              <w:spacing w:after="100"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_____ Companies that own, operate, or finance income-generating real estate </w:t>
            </w:r>
          </w:p>
          <w:p w:rsidR="00000000" w:rsidDel="00000000" w:rsidP="00000000" w:rsidRDefault="00000000" w:rsidRPr="00000000" w14:paraId="00000022">
            <w:pPr>
              <w:pageBreakBefore w:val="0"/>
              <w:spacing w:after="100"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3">
            <w:pPr>
              <w:pageBreakBefore w:val="0"/>
              <w:spacing w:after="100"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_____ Largest US companies, which have a market cap over $10 billion</w:t>
            </w:r>
          </w:p>
          <w:p w:rsidR="00000000" w:rsidDel="00000000" w:rsidP="00000000" w:rsidRDefault="00000000" w:rsidRPr="00000000" w14:paraId="00000024">
            <w:pPr>
              <w:pageBreakBefore w:val="0"/>
              <w:spacing w:after="100"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5">
            <w:pPr>
              <w:pageBreakBefore w:val="0"/>
              <w:spacing w:after="100" w:line="276" w:lineRule="auto"/>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(continues on next page)</w:t>
            </w:r>
          </w:p>
          <w:p w:rsidR="00000000" w:rsidDel="00000000" w:rsidP="00000000" w:rsidRDefault="00000000" w:rsidRPr="00000000" w14:paraId="00000026">
            <w:pPr>
              <w:pageBreakBefore w:val="0"/>
              <w:spacing w:after="100"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_____ Smaller US companies, which have a market cap between $300 million and $2 billion</w:t>
            </w:r>
          </w:p>
          <w:p w:rsidR="00000000" w:rsidDel="00000000" w:rsidP="00000000" w:rsidRDefault="00000000" w:rsidRPr="00000000" w14:paraId="00000027">
            <w:pPr>
              <w:pageBreakBefore w:val="0"/>
              <w:spacing w:after="100" w:before="0" w:line="276" w:lineRule="auto"/>
              <w:ind w:left="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8">
            <w:pPr>
              <w:pageBreakBefore w:val="0"/>
              <w:spacing w:after="100"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_____ International companies in countries with still developing capital markets and less stable economies</w:t>
            </w:r>
          </w:p>
          <w:p w:rsidR="00000000" w:rsidDel="00000000" w:rsidP="00000000" w:rsidRDefault="00000000" w:rsidRPr="00000000" w14:paraId="00000029">
            <w:pPr>
              <w:pageBreakBefore w:val="0"/>
              <w:spacing w:after="100" w:before="0" w:line="276" w:lineRule="auto"/>
              <w:ind w:left="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A">
            <w:pPr>
              <w:pageBreakBefore w:val="0"/>
              <w:spacing w:after="100"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_____ Bonds with high credit ratings and lower risks of default, usually issued by stable companies </w:t>
            </w:r>
          </w:p>
          <w:p w:rsidR="00000000" w:rsidDel="00000000" w:rsidP="00000000" w:rsidRDefault="00000000" w:rsidRPr="00000000" w14:paraId="0000002B">
            <w:pPr>
              <w:pageBreakBefore w:val="0"/>
              <w:spacing w:after="100" w:before="0" w:line="276" w:lineRule="auto"/>
              <w:ind w:left="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C">
            <w:pPr>
              <w:pageBreakBefore w:val="0"/>
              <w:spacing w:after="100" w:before="0" w:line="276" w:lineRule="auto"/>
              <w:ind w:left="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_____ </w:t>
            </w:r>
            <w:r w:rsidDel="00000000" w:rsidR="00000000" w:rsidRPr="00000000">
              <w:rPr>
                <w:rFonts w:ascii="Montserrat" w:cs="Montserrat" w:eastAsia="Montserrat" w:hAnsi="Montserrat"/>
                <w:sz w:val="22"/>
                <w:szCs w:val="22"/>
                <w:rtl w:val="0"/>
              </w:rPr>
              <w:t xml:space="preserve">A diversified portfolio made up of 15% large cap, 15% international, 10% small cap, 10% emerging markets, 10% REITs, 40% high-grade bonds, and annual rebalancing</w:t>
            </w:r>
            <w:r w:rsidDel="00000000" w:rsidR="00000000" w:rsidRPr="00000000">
              <w:rPr>
                <w:rtl w:val="0"/>
              </w:rPr>
            </w:r>
          </w:p>
        </w:tc>
      </w:tr>
    </w:tbl>
    <w:p w:rsidR="00000000" w:rsidDel="00000000" w:rsidP="00000000" w:rsidRDefault="00000000" w:rsidRPr="00000000" w14:paraId="0000002D">
      <w:pPr>
        <w:pageBreakBefore w:val="0"/>
        <w:spacing w:after="100" w:before="100" w:line="276" w:lineRule="auto"/>
        <w:rPr>
          <w:i w:val="1"/>
          <w:sz w:val="22"/>
          <w:szCs w:val="22"/>
        </w:rPr>
      </w:pPr>
      <w:r w:rsidDel="00000000" w:rsidR="00000000" w:rsidRPr="00000000">
        <w:rPr>
          <w:rtl w:val="0"/>
        </w:rPr>
      </w:r>
    </w:p>
    <w:p w:rsidR="00000000" w:rsidDel="00000000" w:rsidP="00000000" w:rsidRDefault="00000000" w:rsidRPr="00000000" w14:paraId="0000002E">
      <w:pPr>
        <w:pageBreakBefore w:val="0"/>
        <w:numPr>
          <w:ilvl w:val="0"/>
          <w:numId w:val="1"/>
        </w:numPr>
        <w:spacing w:after="100" w:before="100"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 the chart under the interactive, each Asset Class is listed next to an Index. Index funds are what enable you to </w:t>
      </w:r>
      <w:r w:rsidDel="00000000" w:rsidR="00000000" w:rsidRPr="00000000">
        <w:rPr>
          <w:rFonts w:ascii="Montserrat" w:cs="Montserrat" w:eastAsia="Montserrat" w:hAnsi="Montserrat"/>
          <w:sz w:val="22"/>
          <w:szCs w:val="22"/>
          <w:rtl w:val="0"/>
        </w:rPr>
        <w:t xml:space="preserve">own many investments in that </w:t>
      </w:r>
      <w:r w:rsidDel="00000000" w:rsidR="00000000" w:rsidRPr="00000000">
        <w:rPr>
          <w:rFonts w:ascii="Montserrat" w:cs="Montserrat" w:eastAsia="Montserrat" w:hAnsi="Montserrat"/>
          <w:sz w:val="22"/>
          <w:szCs w:val="22"/>
          <w:rtl w:val="0"/>
        </w:rPr>
        <w:t xml:space="preserve">asset class. For example: </w:t>
      </w:r>
      <w:r w:rsidDel="00000000" w:rsidR="00000000" w:rsidRPr="00000000">
        <w:rPr>
          <w:rFonts w:ascii="Montserrat" w:cs="Montserrat" w:eastAsia="Montserrat" w:hAnsi="Montserrat"/>
          <w:sz w:val="22"/>
          <w:szCs w:val="22"/>
        </w:rPr>
        <w:drawing>
          <wp:inline distB="114300" distT="114300" distL="114300" distR="114300">
            <wp:extent cx="6338888" cy="413788"/>
            <wp:effectExtent b="25400" l="25400" r="25400" t="2540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6338888" cy="413788"/>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2F">
      <w:pPr>
        <w:pageBreakBefore w:val="0"/>
        <w:spacing w:after="100" w:before="100" w:line="276" w:lineRule="auto"/>
        <w:ind w:left="72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0">
      <w:pPr>
        <w:pageBreakBefore w:val="0"/>
        <w:numPr>
          <w:ilvl w:val="0"/>
          <w:numId w:val="2"/>
        </w:numPr>
        <w:spacing w:after="100" w:before="100" w:line="276" w:lineRule="auto"/>
        <w:ind w:left="144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What does the “Annual” column of the chart measure?</w:t>
      </w:r>
      <w:r w:rsidDel="00000000" w:rsidR="00000000" w:rsidRPr="00000000">
        <w:rPr>
          <w:rtl w:val="0"/>
        </w:rPr>
      </w:r>
    </w:p>
    <w:tbl>
      <w:tblPr>
        <w:tblStyle w:val="Table4"/>
        <w:tblW w:w="9420.0" w:type="dxa"/>
        <w:jc w:val="left"/>
        <w:tblInd w:w="138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420"/>
        <w:tblGridChange w:id="0">
          <w:tblGrid>
            <w:gridCol w:w="9420"/>
          </w:tblGrid>
        </w:tblGridChange>
      </w:tblGrid>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32">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33">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34">
            <w:pPr>
              <w:pageBreakBefore w:val="0"/>
              <w:spacing w:line="276" w:lineRule="auto"/>
              <w:rPr>
                <w:color w:val="0000ff"/>
                <w:sz w:val="22"/>
                <w:szCs w:val="22"/>
              </w:rPr>
            </w:pPr>
            <w:r w:rsidDel="00000000" w:rsidR="00000000" w:rsidRPr="00000000">
              <w:rPr>
                <w:rtl w:val="0"/>
              </w:rPr>
            </w:r>
          </w:p>
        </w:tc>
      </w:tr>
    </w:tbl>
    <w:p w:rsidR="00000000" w:rsidDel="00000000" w:rsidP="00000000" w:rsidRDefault="00000000" w:rsidRPr="00000000" w14:paraId="00000035">
      <w:pPr>
        <w:pageBreakBefore w:val="0"/>
        <w:spacing w:after="100" w:before="100" w:line="276" w:lineRule="auto"/>
        <w:ind w:left="144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6">
      <w:pPr>
        <w:pageBreakBefore w:val="0"/>
        <w:numPr>
          <w:ilvl w:val="0"/>
          <w:numId w:val="2"/>
        </w:numPr>
        <w:spacing w:after="100" w:before="100" w:line="276" w:lineRule="auto"/>
        <w:ind w:left="144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What does it mean when an asset class has “Best” and “Worst” percentages that are spread very far apart?</w:t>
      </w:r>
      <w:r w:rsidDel="00000000" w:rsidR="00000000" w:rsidRPr="00000000">
        <w:rPr>
          <w:rtl w:val="0"/>
        </w:rPr>
      </w:r>
    </w:p>
    <w:tbl>
      <w:tblPr>
        <w:tblStyle w:val="Table5"/>
        <w:tblW w:w="9420.0" w:type="dxa"/>
        <w:jc w:val="left"/>
        <w:tblInd w:w="138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420"/>
        <w:tblGridChange w:id="0">
          <w:tblGrid>
            <w:gridCol w:w="9420"/>
          </w:tblGrid>
        </w:tblGridChange>
      </w:tblGrid>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38">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39">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3A">
            <w:pPr>
              <w:pageBreakBefore w:val="0"/>
              <w:spacing w:line="276" w:lineRule="auto"/>
              <w:rPr>
                <w:color w:val="0000ff"/>
                <w:sz w:val="22"/>
                <w:szCs w:val="22"/>
              </w:rPr>
            </w:pPr>
            <w:r w:rsidDel="00000000" w:rsidR="00000000" w:rsidRPr="00000000">
              <w:rPr>
                <w:rtl w:val="0"/>
              </w:rPr>
            </w:r>
          </w:p>
        </w:tc>
      </w:tr>
    </w:tbl>
    <w:p w:rsidR="00000000" w:rsidDel="00000000" w:rsidP="00000000" w:rsidRDefault="00000000" w:rsidRPr="00000000" w14:paraId="0000003B">
      <w:pPr>
        <w:pageBreakBefore w:val="0"/>
        <w:spacing w:after="100" w:before="100" w:line="276" w:lineRule="auto"/>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C">
      <w:pPr>
        <w:pageBreakBefore w:val="0"/>
        <w:spacing w:after="100" w:before="100" w:line="276" w:lineRule="auto"/>
        <w:rPr>
          <w:sz w:val="22"/>
          <w:szCs w:val="22"/>
        </w:rPr>
      </w:pPr>
      <w:r w:rsidDel="00000000" w:rsidR="00000000" w:rsidRPr="00000000">
        <w:rPr>
          <w:rtl w:val="0"/>
        </w:rPr>
      </w:r>
    </w:p>
    <w:p w:rsidR="00000000" w:rsidDel="00000000" w:rsidP="00000000" w:rsidRDefault="00000000" w:rsidRPr="00000000" w14:paraId="0000003D">
      <w:pPr>
        <w:pageBreakBefore w:val="0"/>
        <w:numPr>
          <w:ilvl w:val="0"/>
          <w:numId w:val="2"/>
        </w:numPr>
        <w:spacing w:after="100" w:before="100" w:line="276" w:lineRule="auto"/>
        <w:ind w:left="144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As an investor, you want to buy low and sell high. But, when an asset class has a bad year, such as International Stocks in 2014, why might it be hard to “hold on” without selling?</w:t>
      </w:r>
      <w:r w:rsidDel="00000000" w:rsidR="00000000" w:rsidRPr="00000000">
        <w:rPr>
          <w:rFonts w:ascii="Montserrat" w:cs="Montserrat" w:eastAsia="Montserrat" w:hAnsi="Montserrat"/>
          <w:sz w:val="22"/>
          <w:szCs w:val="22"/>
          <w:rtl w:val="0"/>
        </w:rPr>
        <w:t xml:space="preserve"> </w:t>
      </w:r>
      <w:r w:rsidDel="00000000" w:rsidR="00000000" w:rsidRPr="00000000">
        <w:rPr>
          <w:rtl w:val="0"/>
        </w:rPr>
      </w:r>
    </w:p>
    <w:tbl>
      <w:tblPr>
        <w:tblStyle w:val="Table6"/>
        <w:tblW w:w="9420.0" w:type="dxa"/>
        <w:jc w:val="left"/>
        <w:tblInd w:w="138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420"/>
        <w:tblGridChange w:id="0">
          <w:tblGrid>
            <w:gridCol w:w="9420"/>
          </w:tblGrid>
        </w:tblGridChange>
      </w:tblGrid>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3F">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40">
            <w:pPr>
              <w:pageBreakBefore w:val="0"/>
              <w:spacing w:line="276" w:lineRule="auto"/>
              <w:rPr>
                <w:color w:val="0000ff"/>
                <w:sz w:val="22"/>
                <w:szCs w:val="22"/>
              </w:rPr>
            </w:pPr>
            <w:r w:rsidDel="00000000" w:rsidR="00000000" w:rsidRPr="00000000">
              <w:rPr>
                <w:rtl w:val="0"/>
              </w:rPr>
            </w:r>
          </w:p>
        </w:tc>
      </w:tr>
    </w:tbl>
    <w:p w:rsidR="00000000" w:rsidDel="00000000" w:rsidP="00000000" w:rsidRDefault="00000000" w:rsidRPr="00000000" w14:paraId="00000041">
      <w:pPr>
        <w:pageBreakBefore w:val="0"/>
        <w:spacing w:line="276" w:lineRule="auto"/>
        <w:rPr>
          <w:sz w:val="22"/>
          <w:szCs w:val="22"/>
        </w:rPr>
      </w:pPr>
      <w:r w:rsidDel="00000000" w:rsidR="00000000" w:rsidRPr="00000000">
        <w:rPr>
          <w:rtl w:val="0"/>
        </w:rPr>
      </w:r>
    </w:p>
    <w:p w:rsidR="00000000" w:rsidDel="00000000" w:rsidP="00000000" w:rsidRDefault="00000000" w:rsidRPr="00000000" w14:paraId="00000042">
      <w:pPr>
        <w:pageBreakBefore w:val="0"/>
        <w:spacing w:line="276" w:lineRule="auto"/>
        <w:rPr>
          <w:sz w:val="22"/>
          <w:szCs w:val="22"/>
        </w:rPr>
      </w:pPr>
      <w:r w:rsidDel="00000000" w:rsidR="00000000" w:rsidRPr="00000000">
        <w:rPr>
          <w:rtl w:val="0"/>
        </w:rPr>
      </w:r>
    </w:p>
    <w:p w:rsidR="00000000" w:rsidDel="00000000" w:rsidP="00000000" w:rsidRDefault="00000000" w:rsidRPr="00000000" w14:paraId="00000043">
      <w:pPr>
        <w:pageBreakBefore w:val="0"/>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Part II: Learn to Read the Chart</w:t>
      </w:r>
    </w:p>
    <w:p w:rsidR="00000000" w:rsidDel="00000000" w:rsidP="00000000" w:rsidRDefault="00000000" w:rsidRPr="00000000" w14:paraId="00000044">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As you hover over a box, such as a dark green one for International Stock, the dark green box for each year will remain highlighted while all other boxes fade to the background. The next few questions will help you learn to read the chart. </w:t>
      </w:r>
    </w:p>
    <w:p w:rsidR="00000000" w:rsidDel="00000000" w:rsidP="00000000" w:rsidRDefault="00000000" w:rsidRPr="00000000" w14:paraId="00000045">
      <w:pPr>
        <w:pageBreakBefore w:val="0"/>
        <w:spacing w:line="276" w:lineRule="auto"/>
        <w:rPr>
          <w:sz w:val="22"/>
          <w:szCs w:val="22"/>
        </w:rPr>
      </w:pPr>
      <w:r w:rsidDel="00000000" w:rsidR="00000000" w:rsidRPr="00000000">
        <w:rPr>
          <w:rtl w:val="0"/>
        </w:rPr>
      </w:r>
    </w:p>
    <w:p w:rsidR="00000000" w:rsidDel="00000000" w:rsidP="00000000" w:rsidRDefault="00000000" w:rsidRPr="00000000" w14:paraId="00000046">
      <w:pPr>
        <w:pageBreakBefore w:val="0"/>
        <w:numPr>
          <w:ilvl w:val="0"/>
          <w:numId w:val="1"/>
        </w:numPr>
        <w:spacing w:after="100" w:before="100"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Which asset class performed better in 2018 -- High Grade Bonds or Small Cap Companies? </w:t>
      </w:r>
      <w:r w:rsidDel="00000000" w:rsidR="00000000" w:rsidRPr="00000000">
        <w:rPr>
          <w:rtl w:val="0"/>
        </w:rPr>
      </w:r>
    </w:p>
    <w:tbl>
      <w:tblPr>
        <w:tblStyle w:val="Table7"/>
        <w:tblW w:w="10050.0" w:type="dxa"/>
        <w:jc w:val="left"/>
        <w:tblInd w:w="7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spacing w:line="276" w:lineRule="auto"/>
              <w:rPr>
                <w:color w:val="0000ff"/>
                <w:sz w:val="22"/>
                <w:szCs w:val="22"/>
              </w:rPr>
            </w:pPr>
            <w:r w:rsidDel="00000000" w:rsidR="00000000" w:rsidRPr="00000000">
              <w:rPr>
                <w:rtl w:val="0"/>
              </w:rPr>
            </w:r>
          </w:p>
        </w:tc>
      </w:tr>
    </w:tbl>
    <w:p w:rsidR="00000000" w:rsidDel="00000000" w:rsidP="00000000" w:rsidRDefault="00000000" w:rsidRPr="00000000" w14:paraId="00000048">
      <w:pPr>
        <w:pageBreakBefore w:val="0"/>
        <w:spacing w:after="100" w:before="100"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9">
      <w:pPr>
        <w:pageBreakBefore w:val="0"/>
        <w:numPr>
          <w:ilvl w:val="0"/>
          <w:numId w:val="1"/>
        </w:numPr>
        <w:spacing w:after="100" w:before="100"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What was the annual return for Small Cap Stocks in 2009? </w:t>
      </w:r>
      <w:r w:rsidDel="00000000" w:rsidR="00000000" w:rsidRPr="00000000">
        <w:rPr>
          <w:rtl w:val="0"/>
        </w:rPr>
      </w:r>
    </w:p>
    <w:tbl>
      <w:tblPr>
        <w:tblStyle w:val="Table8"/>
        <w:tblW w:w="10050.0" w:type="dxa"/>
        <w:jc w:val="left"/>
        <w:tblInd w:w="7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spacing w:line="276" w:lineRule="auto"/>
              <w:rPr>
                <w:color w:val="0000ff"/>
                <w:sz w:val="22"/>
                <w:szCs w:val="22"/>
              </w:rPr>
            </w:pPr>
            <w:r w:rsidDel="00000000" w:rsidR="00000000" w:rsidRPr="00000000">
              <w:rPr>
                <w:rtl w:val="0"/>
              </w:rPr>
            </w:r>
          </w:p>
        </w:tc>
      </w:tr>
    </w:tbl>
    <w:p w:rsidR="00000000" w:rsidDel="00000000" w:rsidP="00000000" w:rsidRDefault="00000000" w:rsidRPr="00000000" w14:paraId="0000004B">
      <w:pPr>
        <w:pageBreakBefore w:val="0"/>
        <w:spacing w:after="100" w:before="100" w:line="276" w:lineRule="auto"/>
        <w:rPr>
          <w:sz w:val="22"/>
          <w:szCs w:val="22"/>
        </w:rPr>
      </w:pPr>
      <w:r w:rsidDel="00000000" w:rsidR="00000000" w:rsidRPr="00000000">
        <w:rPr>
          <w:rtl w:val="0"/>
        </w:rPr>
      </w:r>
    </w:p>
    <w:p w:rsidR="00000000" w:rsidDel="00000000" w:rsidP="00000000" w:rsidRDefault="00000000" w:rsidRPr="00000000" w14:paraId="0000004C">
      <w:pPr>
        <w:pageBreakBefore w:val="0"/>
        <w:numPr>
          <w:ilvl w:val="0"/>
          <w:numId w:val="1"/>
        </w:numPr>
        <w:spacing w:after="100" w:before="100"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Look at the annual return for Small Cap Stocks in 2010. If the 2010 return is LOWER than it was in 2009, why is Small Cap Stock higher on the list in 2010?</w:t>
      </w:r>
      <w:r w:rsidDel="00000000" w:rsidR="00000000" w:rsidRPr="00000000">
        <w:rPr>
          <w:rFonts w:ascii="Montserrat" w:cs="Montserrat" w:eastAsia="Montserrat" w:hAnsi="Montserrat"/>
          <w:sz w:val="22"/>
          <w:szCs w:val="22"/>
          <w:rtl w:val="0"/>
        </w:rPr>
        <w:t xml:space="preserve"> </w:t>
      </w:r>
      <w:r w:rsidDel="00000000" w:rsidR="00000000" w:rsidRPr="00000000">
        <w:rPr>
          <w:rtl w:val="0"/>
        </w:rPr>
      </w:r>
    </w:p>
    <w:tbl>
      <w:tblPr>
        <w:tblStyle w:val="Table9"/>
        <w:tblW w:w="10050.0" w:type="dxa"/>
        <w:jc w:val="left"/>
        <w:tblInd w:w="7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4E">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4F">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50">
            <w:pPr>
              <w:pageBreakBefore w:val="0"/>
              <w:spacing w:line="276" w:lineRule="auto"/>
              <w:rPr>
                <w:color w:val="0000ff"/>
                <w:sz w:val="22"/>
                <w:szCs w:val="22"/>
              </w:rPr>
            </w:pPr>
            <w:r w:rsidDel="00000000" w:rsidR="00000000" w:rsidRPr="00000000">
              <w:rPr>
                <w:rtl w:val="0"/>
              </w:rPr>
            </w:r>
          </w:p>
        </w:tc>
      </w:tr>
    </w:tbl>
    <w:p w:rsidR="00000000" w:rsidDel="00000000" w:rsidP="00000000" w:rsidRDefault="00000000" w:rsidRPr="00000000" w14:paraId="00000051">
      <w:pPr>
        <w:pageBreakBefore w:val="0"/>
        <w:spacing w:after="100" w:before="100" w:line="276" w:lineRule="auto"/>
        <w:rPr>
          <w:sz w:val="22"/>
          <w:szCs w:val="22"/>
        </w:rPr>
      </w:pPr>
      <w:r w:rsidDel="00000000" w:rsidR="00000000" w:rsidRPr="00000000">
        <w:rPr>
          <w:rtl w:val="0"/>
        </w:rPr>
      </w:r>
    </w:p>
    <w:p w:rsidR="00000000" w:rsidDel="00000000" w:rsidP="00000000" w:rsidRDefault="00000000" w:rsidRPr="00000000" w14:paraId="00000052">
      <w:pPr>
        <w:pageBreakBefore w:val="0"/>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Part III: Dig Deeper on Asset Classes</w:t>
      </w:r>
    </w:p>
    <w:p w:rsidR="00000000" w:rsidDel="00000000" w:rsidP="00000000" w:rsidRDefault="00000000" w:rsidRPr="00000000" w14:paraId="00000053">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Now that you’ve got the lay of the land, let’s use this chart to determine whether diversifying into an index fund representing an asset class is enough. </w:t>
      </w:r>
      <w:r w:rsidDel="00000000" w:rsidR="00000000" w:rsidRPr="00000000">
        <w:rPr>
          <w:rtl w:val="0"/>
        </w:rPr>
      </w:r>
    </w:p>
    <w:p w:rsidR="00000000" w:rsidDel="00000000" w:rsidP="00000000" w:rsidRDefault="00000000" w:rsidRPr="00000000" w14:paraId="00000054">
      <w:pPr>
        <w:pageBreakBefore w:val="0"/>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5">
      <w:pPr>
        <w:pageBreakBefore w:val="0"/>
        <w:numPr>
          <w:ilvl w:val="0"/>
          <w:numId w:val="1"/>
        </w:numPr>
        <w:spacing w:after="100" w:before="100"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Let’s look at cash first. It never has a negative year. </w:t>
      </w:r>
      <w:r w:rsidDel="00000000" w:rsidR="00000000" w:rsidRPr="00000000">
        <w:rPr>
          <w:rFonts w:ascii="Montserrat" w:cs="Montserrat" w:eastAsia="Montserrat" w:hAnsi="Montserrat"/>
          <w:sz w:val="22"/>
          <w:szCs w:val="22"/>
          <w:rtl w:val="0"/>
        </w:rPr>
        <w:t xml:space="preserve">Does that make Cash Equivalents a good investment? Why or why not? </w:t>
      </w:r>
      <w:r w:rsidDel="00000000" w:rsidR="00000000" w:rsidRPr="00000000">
        <w:rPr>
          <w:rtl w:val="0"/>
        </w:rPr>
      </w:r>
    </w:p>
    <w:tbl>
      <w:tblPr>
        <w:tblStyle w:val="Table10"/>
        <w:tblW w:w="10050.0" w:type="dxa"/>
        <w:jc w:val="left"/>
        <w:tblInd w:w="7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57">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58">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59">
            <w:pPr>
              <w:pageBreakBefore w:val="0"/>
              <w:spacing w:line="276" w:lineRule="auto"/>
              <w:rPr>
                <w:color w:val="0000ff"/>
                <w:sz w:val="22"/>
                <w:szCs w:val="22"/>
              </w:rPr>
            </w:pPr>
            <w:r w:rsidDel="00000000" w:rsidR="00000000" w:rsidRPr="00000000">
              <w:rPr>
                <w:rtl w:val="0"/>
              </w:rPr>
            </w:r>
          </w:p>
        </w:tc>
      </w:tr>
    </w:tbl>
    <w:p w:rsidR="00000000" w:rsidDel="00000000" w:rsidP="00000000" w:rsidRDefault="00000000" w:rsidRPr="00000000" w14:paraId="0000005A">
      <w:pPr>
        <w:pageBreakBefore w:val="0"/>
        <w:spacing w:after="100" w:before="100" w:line="276" w:lineRule="auto"/>
        <w:rPr>
          <w:sz w:val="22"/>
          <w:szCs w:val="22"/>
        </w:rPr>
      </w:pPr>
      <w:r w:rsidDel="00000000" w:rsidR="00000000" w:rsidRPr="00000000">
        <w:rPr>
          <w:rtl w:val="0"/>
        </w:rPr>
      </w:r>
    </w:p>
    <w:p w:rsidR="00000000" w:rsidDel="00000000" w:rsidP="00000000" w:rsidRDefault="00000000" w:rsidRPr="00000000" w14:paraId="0000005B">
      <w:pPr>
        <w:pageBreakBefore w:val="0"/>
        <w:spacing w:after="100" w:before="100" w:line="276" w:lineRule="auto"/>
        <w:rPr>
          <w:sz w:val="22"/>
          <w:szCs w:val="22"/>
        </w:rPr>
      </w:pPr>
      <w:r w:rsidDel="00000000" w:rsidR="00000000" w:rsidRPr="00000000">
        <w:rPr>
          <w:rtl w:val="0"/>
        </w:rPr>
      </w:r>
    </w:p>
    <w:p w:rsidR="00000000" w:rsidDel="00000000" w:rsidP="00000000" w:rsidRDefault="00000000" w:rsidRPr="00000000" w14:paraId="0000005C">
      <w:pPr>
        <w:pageBreakBefore w:val="0"/>
        <w:spacing w:after="100" w:before="100" w:line="276" w:lineRule="auto"/>
        <w:rPr>
          <w:sz w:val="22"/>
          <w:szCs w:val="22"/>
        </w:rPr>
      </w:pPr>
      <w:r w:rsidDel="00000000" w:rsidR="00000000" w:rsidRPr="00000000">
        <w:rPr>
          <w:rtl w:val="0"/>
        </w:rPr>
      </w:r>
    </w:p>
    <w:p w:rsidR="00000000" w:rsidDel="00000000" w:rsidP="00000000" w:rsidRDefault="00000000" w:rsidRPr="00000000" w14:paraId="0000005D">
      <w:pPr>
        <w:pageBreakBefore w:val="0"/>
        <w:numPr>
          <w:ilvl w:val="0"/>
          <w:numId w:val="1"/>
        </w:numPr>
        <w:spacing w:after="0" w:afterAutospacing="0" w:before="100"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Although all investments are risky because you’re never guaranteed a positive return, bond funds are considered somewhat safer because bonds are less volatile than stocks and a </w:t>
      </w:r>
      <w:r w:rsidDel="00000000" w:rsidR="00000000" w:rsidRPr="00000000">
        <w:rPr>
          <w:rFonts w:ascii="Montserrat" w:cs="Montserrat" w:eastAsia="Montserrat" w:hAnsi="Montserrat"/>
          <w:i w:val="1"/>
          <w:sz w:val="22"/>
          <w:szCs w:val="22"/>
          <w:rtl w:val="0"/>
        </w:rPr>
        <w:t xml:space="preserve">fund</w:t>
      </w:r>
      <w:r w:rsidDel="00000000" w:rsidR="00000000" w:rsidRPr="00000000">
        <w:rPr>
          <w:rFonts w:ascii="Montserrat" w:cs="Montserrat" w:eastAsia="Montserrat" w:hAnsi="Montserrat"/>
          <w:sz w:val="22"/>
          <w:szCs w:val="22"/>
          <w:rtl w:val="0"/>
        </w:rPr>
        <w:t xml:space="preserve"> means it owns many different bonds, rather than just one. Look at the index fund of High Grade Bonds in this chart. What would be some PROS and some CONS of investing in this bond index fund? </w:t>
        <w:br w:type="textWrapping"/>
      </w:r>
    </w:p>
    <w:p w:rsidR="00000000" w:rsidDel="00000000" w:rsidP="00000000" w:rsidRDefault="00000000" w:rsidRPr="00000000" w14:paraId="0000005E">
      <w:pPr>
        <w:pageBreakBefore w:val="0"/>
        <w:numPr>
          <w:ilvl w:val="1"/>
          <w:numId w:val="1"/>
        </w:numPr>
        <w:spacing w:after="100" w:before="0" w:beforeAutospacing="0" w:line="276" w:lineRule="auto"/>
        <w:ind w:left="144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PROS: </w:t>
      </w:r>
      <w:r w:rsidDel="00000000" w:rsidR="00000000" w:rsidRPr="00000000">
        <w:rPr>
          <w:rtl w:val="0"/>
        </w:rPr>
      </w:r>
    </w:p>
    <w:tbl>
      <w:tblPr>
        <w:tblStyle w:val="Table11"/>
        <w:tblW w:w="9345.0" w:type="dxa"/>
        <w:jc w:val="left"/>
        <w:tblInd w:w="1455.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345"/>
        <w:tblGridChange w:id="0">
          <w:tblGrid>
            <w:gridCol w:w="9345"/>
          </w:tblGrid>
        </w:tblGridChange>
      </w:tblGrid>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60">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61">
            <w:pPr>
              <w:pageBreakBefore w:val="0"/>
              <w:spacing w:line="276" w:lineRule="auto"/>
              <w:rPr>
                <w:color w:val="0000ff"/>
                <w:sz w:val="22"/>
                <w:szCs w:val="22"/>
              </w:rPr>
            </w:pPr>
            <w:r w:rsidDel="00000000" w:rsidR="00000000" w:rsidRPr="00000000">
              <w:rPr>
                <w:rtl w:val="0"/>
              </w:rPr>
            </w:r>
          </w:p>
        </w:tc>
      </w:tr>
    </w:tbl>
    <w:p w:rsidR="00000000" w:rsidDel="00000000" w:rsidP="00000000" w:rsidRDefault="00000000" w:rsidRPr="00000000" w14:paraId="00000062">
      <w:pPr>
        <w:pageBreakBefore w:val="0"/>
        <w:spacing w:after="100" w:before="100" w:line="276" w:lineRule="auto"/>
        <w:ind w:left="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3">
      <w:pPr>
        <w:pageBreakBefore w:val="0"/>
        <w:numPr>
          <w:ilvl w:val="1"/>
          <w:numId w:val="1"/>
        </w:numPr>
        <w:spacing w:after="100" w:before="100" w:line="276" w:lineRule="auto"/>
        <w:ind w:left="144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CONS: </w:t>
      </w:r>
      <w:r w:rsidDel="00000000" w:rsidR="00000000" w:rsidRPr="00000000">
        <w:rPr>
          <w:rtl w:val="0"/>
        </w:rPr>
      </w:r>
    </w:p>
    <w:tbl>
      <w:tblPr>
        <w:tblStyle w:val="Table12"/>
        <w:tblW w:w="9345.0" w:type="dxa"/>
        <w:jc w:val="left"/>
        <w:tblInd w:w="1455.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345"/>
        <w:tblGridChange w:id="0">
          <w:tblGrid>
            <w:gridCol w:w="9345"/>
          </w:tblGrid>
        </w:tblGridChange>
      </w:tblGrid>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65">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66">
            <w:pPr>
              <w:pageBreakBefore w:val="0"/>
              <w:spacing w:line="276" w:lineRule="auto"/>
              <w:rPr>
                <w:color w:val="0000ff"/>
                <w:sz w:val="22"/>
                <w:szCs w:val="22"/>
              </w:rPr>
            </w:pPr>
            <w:r w:rsidDel="00000000" w:rsidR="00000000" w:rsidRPr="00000000">
              <w:rPr>
                <w:rtl w:val="0"/>
              </w:rPr>
            </w:r>
          </w:p>
        </w:tc>
      </w:tr>
    </w:tbl>
    <w:p w:rsidR="00000000" w:rsidDel="00000000" w:rsidP="00000000" w:rsidRDefault="00000000" w:rsidRPr="00000000" w14:paraId="00000067">
      <w:pPr>
        <w:pageBreakBefore w:val="0"/>
        <w:spacing w:after="100" w:before="100" w:line="276" w:lineRule="auto"/>
        <w:rPr>
          <w:sz w:val="22"/>
          <w:szCs w:val="22"/>
        </w:rPr>
      </w:pPr>
      <w:r w:rsidDel="00000000" w:rsidR="00000000" w:rsidRPr="00000000">
        <w:rPr>
          <w:rtl w:val="0"/>
        </w:rPr>
      </w:r>
    </w:p>
    <w:p w:rsidR="00000000" w:rsidDel="00000000" w:rsidP="00000000" w:rsidRDefault="00000000" w:rsidRPr="00000000" w14:paraId="00000068">
      <w:pPr>
        <w:pageBreakBefore w:val="0"/>
        <w:numPr>
          <w:ilvl w:val="0"/>
          <w:numId w:val="1"/>
        </w:numPr>
        <w:spacing w:after="100" w:before="100"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Hover over the purple boxes for the MSCI Emerging Markets Index. What type of investor profile might be interested in emerging markets? </w:t>
      </w:r>
      <w:r w:rsidDel="00000000" w:rsidR="00000000" w:rsidRPr="00000000">
        <w:rPr>
          <w:rtl w:val="0"/>
        </w:rPr>
      </w:r>
    </w:p>
    <w:tbl>
      <w:tblPr>
        <w:tblStyle w:val="Table13"/>
        <w:tblW w:w="10050.0" w:type="dxa"/>
        <w:jc w:val="left"/>
        <w:tblInd w:w="7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6A">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6B">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6C">
            <w:pPr>
              <w:pageBreakBefore w:val="0"/>
              <w:spacing w:line="276" w:lineRule="auto"/>
              <w:rPr>
                <w:color w:val="0000ff"/>
                <w:sz w:val="22"/>
                <w:szCs w:val="22"/>
              </w:rPr>
            </w:pPr>
            <w:r w:rsidDel="00000000" w:rsidR="00000000" w:rsidRPr="00000000">
              <w:rPr>
                <w:rtl w:val="0"/>
              </w:rPr>
            </w:r>
          </w:p>
        </w:tc>
      </w:tr>
    </w:tbl>
    <w:p w:rsidR="00000000" w:rsidDel="00000000" w:rsidP="00000000" w:rsidRDefault="00000000" w:rsidRPr="00000000" w14:paraId="0000006D">
      <w:pPr>
        <w:pageBreakBefore w:val="0"/>
        <w:spacing w:after="100" w:before="100" w:line="276" w:lineRule="auto"/>
        <w:rPr>
          <w:sz w:val="22"/>
          <w:szCs w:val="22"/>
        </w:rPr>
      </w:pPr>
      <w:r w:rsidDel="00000000" w:rsidR="00000000" w:rsidRPr="00000000">
        <w:rPr>
          <w:rtl w:val="0"/>
        </w:rPr>
      </w:r>
    </w:p>
    <w:p w:rsidR="00000000" w:rsidDel="00000000" w:rsidP="00000000" w:rsidRDefault="00000000" w:rsidRPr="00000000" w14:paraId="0000006E">
      <w:pPr>
        <w:pageBreakBefore w:val="0"/>
        <w:numPr>
          <w:ilvl w:val="0"/>
          <w:numId w:val="1"/>
        </w:numPr>
        <w:spacing w:after="100" w:before="100"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S&amp;P 500 is a group of the 500 largest US companies, and investing in an S&amp;P 500 index fund is frequent investing advice, even recommended by Warren Buffet. Looking at the chart, why do you think the S&amp;P 500 is such a popular investing strategy? </w:t>
      </w:r>
      <w:r w:rsidDel="00000000" w:rsidR="00000000" w:rsidRPr="00000000">
        <w:rPr>
          <w:rtl w:val="0"/>
        </w:rPr>
      </w:r>
    </w:p>
    <w:tbl>
      <w:tblPr>
        <w:tblStyle w:val="Table14"/>
        <w:tblW w:w="10050.0" w:type="dxa"/>
        <w:jc w:val="left"/>
        <w:tblInd w:w="7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70">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71">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72">
            <w:pPr>
              <w:pageBreakBefore w:val="0"/>
              <w:spacing w:line="276" w:lineRule="auto"/>
              <w:rPr>
                <w:color w:val="0000ff"/>
                <w:sz w:val="22"/>
                <w:szCs w:val="22"/>
              </w:rPr>
            </w:pPr>
            <w:r w:rsidDel="00000000" w:rsidR="00000000" w:rsidRPr="00000000">
              <w:rPr>
                <w:rtl w:val="0"/>
              </w:rPr>
            </w:r>
          </w:p>
        </w:tc>
      </w:tr>
    </w:tbl>
    <w:p w:rsidR="00000000" w:rsidDel="00000000" w:rsidP="00000000" w:rsidRDefault="00000000" w:rsidRPr="00000000" w14:paraId="00000073">
      <w:pPr>
        <w:pageBreakBefore w:val="0"/>
        <w:spacing w:after="100" w:before="100" w:line="276" w:lineRule="auto"/>
        <w:rPr>
          <w:sz w:val="22"/>
          <w:szCs w:val="22"/>
        </w:rPr>
      </w:pPr>
      <w:r w:rsidDel="00000000" w:rsidR="00000000" w:rsidRPr="00000000">
        <w:rPr>
          <w:rtl w:val="0"/>
        </w:rPr>
      </w:r>
    </w:p>
    <w:p w:rsidR="00000000" w:rsidDel="00000000" w:rsidP="00000000" w:rsidRDefault="00000000" w:rsidRPr="00000000" w14:paraId="00000074">
      <w:pPr>
        <w:pageBreakBefore w:val="0"/>
        <w:spacing w:after="100" w:before="100" w:line="276" w:lineRule="auto"/>
        <w:rPr>
          <w:sz w:val="22"/>
          <w:szCs w:val="22"/>
        </w:rPr>
      </w:pPr>
      <w:r w:rsidDel="00000000" w:rsidR="00000000" w:rsidRPr="00000000">
        <w:rPr>
          <w:rtl w:val="0"/>
        </w:rPr>
      </w:r>
    </w:p>
    <w:p w:rsidR="00000000" w:rsidDel="00000000" w:rsidP="00000000" w:rsidRDefault="00000000" w:rsidRPr="00000000" w14:paraId="00000075">
      <w:pPr>
        <w:pageBreakBefore w:val="0"/>
        <w:numPr>
          <w:ilvl w:val="0"/>
          <w:numId w:val="1"/>
        </w:numPr>
        <w:spacing w:after="100" w:before="100"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If you look at the * that defines the Asset Allocation Portfolio, you’ll see it’s a weighted blend of many of the other asset classes. Using the chart, would you rather invest in the Asset Allocation Portfolio or one of the other index funds listed? Explain your answer. </w:t>
      </w:r>
      <w:r w:rsidDel="00000000" w:rsidR="00000000" w:rsidRPr="00000000">
        <w:rPr>
          <w:rtl w:val="0"/>
        </w:rPr>
      </w:r>
    </w:p>
    <w:tbl>
      <w:tblPr>
        <w:tblStyle w:val="Table15"/>
        <w:tblW w:w="10050.0" w:type="dxa"/>
        <w:jc w:val="left"/>
        <w:tblInd w:w="7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77">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78">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79">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7A">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7B">
            <w:pPr>
              <w:pageBreakBefore w:val="0"/>
              <w:spacing w:line="276" w:lineRule="auto"/>
              <w:rPr>
                <w:color w:val="0000ff"/>
                <w:sz w:val="22"/>
                <w:szCs w:val="22"/>
              </w:rPr>
            </w:pPr>
            <w:r w:rsidDel="00000000" w:rsidR="00000000" w:rsidRPr="00000000">
              <w:rPr>
                <w:rtl w:val="0"/>
              </w:rPr>
            </w:r>
          </w:p>
        </w:tc>
      </w:tr>
    </w:tbl>
    <w:p w:rsidR="00000000" w:rsidDel="00000000" w:rsidP="00000000" w:rsidRDefault="00000000" w:rsidRPr="00000000" w14:paraId="0000007C">
      <w:pPr>
        <w:pageBreakBefore w:val="0"/>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7D">
      <w:pPr>
        <w:pageBreakBefore w:val="0"/>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Part IV: Reflect</w:t>
      </w:r>
    </w:p>
    <w:p w:rsidR="00000000" w:rsidDel="00000000" w:rsidP="00000000" w:rsidRDefault="00000000" w:rsidRPr="00000000" w14:paraId="0000007E">
      <w:pPr>
        <w:pageBreakBefore w:val="0"/>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At the top of the page, the author writes: </w:t>
      </w:r>
      <w:r w:rsidDel="00000000" w:rsidR="00000000" w:rsidRPr="00000000">
        <w:rPr>
          <w:rFonts w:ascii="Montserrat" w:cs="Montserrat" w:eastAsia="Montserrat" w:hAnsi="Montserrat"/>
          <w:sz w:val="22"/>
          <w:szCs w:val="22"/>
        </w:rPr>
        <w:drawing>
          <wp:inline distB="114300" distT="114300" distL="114300" distR="114300">
            <wp:extent cx="6858000" cy="596900"/>
            <wp:effectExtent b="25400" l="25400" r="25400" t="2540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6858000" cy="596900"/>
                    </a:xfrm>
                    <a:prstGeom prst="rect"/>
                    <a:ln w="25400">
                      <a:solidFill>
                        <a:srgbClr val="0C4599"/>
                      </a:solidFill>
                      <a:prstDash val="solid"/>
                    </a:ln>
                  </pic:spPr>
                </pic:pic>
              </a:graphicData>
            </a:graphic>
          </wp:inline>
        </w:drawing>
      </w:r>
      <w:r w:rsidDel="00000000" w:rsidR="00000000" w:rsidRPr="00000000">
        <w:rPr>
          <w:rtl w:val="0"/>
        </w:rPr>
      </w:r>
    </w:p>
    <w:p w:rsidR="00000000" w:rsidDel="00000000" w:rsidP="00000000" w:rsidRDefault="00000000" w:rsidRPr="00000000" w14:paraId="0000007F">
      <w:pPr>
        <w:pageBreakBefore w:val="0"/>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80">
      <w:pPr>
        <w:pageBreakBefore w:val="0"/>
        <w:numPr>
          <w:ilvl w:val="0"/>
          <w:numId w:val="1"/>
        </w:numPr>
        <w:spacing w:after="100" w:before="100"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Use one asset class from the chart to illustrate and describe the danger of “looking for an encore,” picking the previous year’s winner and assuming it will be a winner again.</w:t>
      </w:r>
      <w:r w:rsidDel="00000000" w:rsidR="00000000" w:rsidRPr="00000000">
        <w:rPr>
          <w:rtl w:val="0"/>
        </w:rPr>
      </w:r>
    </w:p>
    <w:tbl>
      <w:tblPr>
        <w:tblStyle w:val="Table16"/>
        <w:tblW w:w="10050.0" w:type="dxa"/>
        <w:jc w:val="left"/>
        <w:tblInd w:w="7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cantSplit w:val="0"/>
          <w:trHeight w:val="13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82">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83">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84">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85">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86">
            <w:pPr>
              <w:pageBreakBefore w:val="0"/>
              <w:spacing w:line="276" w:lineRule="auto"/>
              <w:rPr>
                <w:color w:val="0000ff"/>
                <w:sz w:val="22"/>
                <w:szCs w:val="22"/>
              </w:rPr>
            </w:pPr>
            <w:r w:rsidDel="00000000" w:rsidR="00000000" w:rsidRPr="00000000">
              <w:rPr>
                <w:rtl w:val="0"/>
              </w:rPr>
            </w:r>
          </w:p>
        </w:tc>
      </w:tr>
    </w:tbl>
    <w:p w:rsidR="00000000" w:rsidDel="00000000" w:rsidP="00000000" w:rsidRDefault="00000000" w:rsidRPr="00000000" w14:paraId="00000087">
      <w:pPr>
        <w:pageBreakBefore w:val="0"/>
        <w:spacing w:line="276"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88">
      <w:pPr>
        <w:pageBreakBefore w:val="0"/>
        <w:numPr>
          <w:ilvl w:val="0"/>
          <w:numId w:val="1"/>
        </w:numPr>
        <w:spacing w:after="100" w:before="100"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If using the previous year’s performance to guess next year’s performance is so unreliable, why do you think so many investors try to use that strategy anyway?</w:t>
      </w:r>
      <w:r w:rsidDel="00000000" w:rsidR="00000000" w:rsidRPr="00000000">
        <w:rPr>
          <w:rtl w:val="0"/>
        </w:rPr>
      </w:r>
    </w:p>
    <w:tbl>
      <w:tblPr>
        <w:tblStyle w:val="Table17"/>
        <w:tblW w:w="10050.0" w:type="dxa"/>
        <w:jc w:val="left"/>
        <w:tblInd w:w="75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050"/>
        <w:tblGridChange w:id="0">
          <w:tblGrid>
            <w:gridCol w:w="10050"/>
          </w:tblGrid>
        </w:tblGridChange>
      </w:tblGrid>
      <w:tr>
        <w:trPr>
          <w:cantSplit w:val="0"/>
          <w:trHeight w:val="13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8A">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8B">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8C">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8D">
            <w:pPr>
              <w:pageBreakBefore w:val="0"/>
              <w:spacing w:line="276" w:lineRule="auto"/>
              <w:rPr>
                <w:color w:val="0000ff"/>
                <w:sz w:val="22"/>
                <w:szCs w:val="22"/>
              </w:rPr>
            </w:pPr>
            <w:r w:rsidDel="00000000" w:rsidR="00000000" w:rsidRPr="00000000">
              <w:rPr>
                <w:rtl w:val="0"/>
              </w:rPr>
            </w:r>
          </w:p>
          <w:p w:rsidR="00000000" w:rsidDel="00000000" w:rsidP="00000000" w:rsidRDefault="00000000" w:rsidRPr="00000000" w14:paraId="0000008E">
            <w:pPr>
              <w:pageBreakBefore w:val="0"/>
              <w:spacing w:line="276" w:lineRule="auto"/>
              <w:rPr>
                <w:color w:val="0000ff"/>
                <w:sz w:val="22"/>
                <w:szCs w:val="22"/>
              </w:rPr>
            </w:pPr>
            <w:r w:rsidDel="00000000" w:rsidR="00000000" w:rsidRPr="00000000">
              <w:rPr>
                <w:rtl w:val="0"/>
              </w:rPr>
            </w:r>
          </w:p>
        </w:tc>
      </w:tr>
    </w:tbl>
    <w:p w:rsidR="00000000" w:rsidDel="00000000" w:rsidP="00000000" w:rsidRDefault="00000000" w:rsidRPr="00000000" w14:paraId="0000008F">
      <w:pPr>
        <w:pageBreakBefore w:val="0"/>
        <w:spacing w:line="276" w:lineRule="auto"/>
        <w:rPr>
          <w:rFonts w:ascii="Montserrat" w:cs="Montserrat" w:eastAsia="Montserrat" w:hAnsi="Montserrat"/>
          <w:sz w:val="22"/>
          <w:szCs w:val="22"/>
        </w:rPr>
      </w:pPr>
      <w:r w:rsidDel="00000000" w:rsidR="00000000" w:rsidRPr="00000000">
        <w:rPr>
          <w:rtl w:val="0"/>
        </w:rPr>
      </w:r>
    </w:p>
    <w:sectPr>
      <w:footerReference r:id="rId11" w:type="default"/>
      <w:pgSz w:h="15840" w:w="12240" w:orient="portrait"/>
      <w:pgMar w:bottom="360"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ageBreakBefore w:val="0"/>
      <w:jc w:val="center"/>
      <w:rPr>
        <w:rFonts w:ascii="Montserrat" w:cs="Montserrat" w:eastAsia="Montserrat" w:hAnsi="Montserrat"/>
        <w:color w:val="999999"/>
        <w:sz w:val="18"/>
        <w:szCs w:val="18"/>
      </w:rPr>
    </w:pPr>
    <w:hyperlink r:id="rId1">
      <w:r w:rsidDel="00000000" w:rsidR="00000000" w:rsidRPr="00000000">
        <w:rPr>
          <w:rFonts w:ascii="Montserrat" w:cs="Montserrat" w:eastAsia="Montserrat" w:hAnsi="Montserrat"/>
          <w:color w:val="999999"/>
          <w:sz w:val="18"/>
          <w:szCs w:val="18"/>
          <w:rtl w:val="0"/>
        </w:rPr>
        <w:t xml:space="preserve">www.ngpf.org</w:t>
      </w:r>
    </w:hyperlink>
    <w:r w:rsidDel="00000000" w:rsidR="00000000" w:rsidRPr="00000000">
      <w:rPr>
        <w:rFonts w:ascii="Montserrat" w:cs="Montserrat" w:eastAsia="Montserrat" w:hAnsi="Montserrat"/>
        <w:color w:val="999999"/>
        <w:sz w:val="18"/>
        <w:szCs w:val="18"/>
        <w:rtl w:val="0"/>
      </w:rPr>
      <w:tab/>
      <w:tab/>
      <w:tab/>
      <w:tab/>
      <w:t xml:space="preserve"> Last updated: 6/21/22</w:t>
    </w: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jc w:val="right"/>
      <w:rPr>
        <w:rFonts w:ascii="Montserrat" w:cs="Montserrat" w:eastAsia="Montserrat" w:hAnsi="Montserrat"/>
        <w:color w:val="999999"/>
        <w:sz w:val="18"/>
        <w:szCs w:val="18"/>
      </w:rPr>
    </w:pPr>
    <w:r w:rsidDel="00000000" w:rsidR="00000000" w:rsidRPr="00000000">
      <w:rPr>
        <w:rFonts w:ascii="Montserrat" w:cs="Montserrat" w:eastAsia="Montserrat" w:hAnsi="Montserrat"/>
        <w:color w:val="999999"/>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Pr>
    <w:rPr>
      <w:color w:val="ffffff"/>
      <w:sz w:val="24"/>
      <w:szCs w:val="24"/>
      <w:highlight w:val="black"/>
    </w:rPr>
  </w:style>
  <w:style w:type="paragraph" w:styleId="Heading2">
    <w:name w:val="heading 2"/>
    <w:basedOn w:val="Normal"/>
    <w:next w:val="Normal"/>
    <w:pPr>
      <w:pageBreakBefore w:val="0"/>
      <w:jc w:val="right"/>
    </w:pPr>
    <w:rPr>
      <w:i w:val="1"/>
      <w:color w:val="000000"/>
      <w:sz w:val="36"/>
      <w:szCs w:val="36"/>
    </w:rPr>
  </w:style>
  <w:style w:type="paragraph" w:styleId="Heading3">
    <w:name w:val="heading 3"/>
    <w:basedOn w:val="Normal"/>
    <w:next w:val="Normal"/>
    <w:pPr>
      <w:pageBreakBefore w:val="0"/>
      <w:jc w:val="center"/>
    </w:pPr>
    <w:rPr>
      <w:b w:val="1"/>
      <w:sz w:val="22"/>
      <w:szCs w:val="22"/>
    </w:rPr>
  </w:style>
  <w:style w:type="paragraph" w:styleId="Heading4">
    <w:name w:val="heading 4"/>
    <w:basedOn w:val="Normal"/>
    <w:next w:val="Normal"/>
    <w:pPr>
      <w:keepNext w:val="0"/>
      <w:keepLines w:val="0"/>
      <w:pageBreakBefore w:val="0"/>
      <w:widowControl w:val="0"/>
    </w:pPr>
    <w:rPr>
      <w:i w:val="1"/>
    </w:rPr>
  </w:style>
  <w:style w:type="paragraph" w:styleId="Heading5">
    <w:name w:val="heading 5"/>
    <w:basedOn w:val="Normal"/>
    <w:next w:val="Normal"/>
    <w:pPr>
      <w:keepNext w:val="0"/>
      <w:keepLines w:val="0"/>
      <w:pageBreakBefore w:val="0"/>
      <w:widowControl w:val="0"/>
      <w:spacing w:after="40" w:before="220" w:lineRule="auto"/>
    </w:pPr>
    <w:rPr>
      <w:b w:val="1"/>
      <w:color w:val="666666"/>
      <w:sz w:val="20"/>
      <w:szCs w:val="20"/>
    </w:rPr>
  </w:style>
  <w:style w:type="paragraph" w:styleId="Heading6">
    <w:name w:val="heading 6"/>
    <w:basedOn w:val="Normal"/>
    <w:next w:val="Normal"/>
    <w:pPr>
      <w:keepNext w:val="0"/>
      <w:keepLines w:val="0"/>
      <w:pageBreakBefore w:val="0"/>
      <w:widowControl w:val="0"/>
      <w:spacing w:after="40" w:before="200" w:lineRule="auto"/>
    </w:pPr>
    <w:rPr>
      <w:i w:val="1"/>
      <w:color w:val="666666"/>
      <w:sz w:val="20"/>
      <w:szCs w:val="20"/>
    </w:rPr>
  </w:style>
  <w:style w:type="paragraph" w:styleId="Title">
    <w:name w:val="Title"/>
    <w:basedOn w:val="Normal"/>
    <w:next w:val="Normal"/>
    <w:pPr>
      <w:keepNext w:val="0"/>
      <w:keepLines w:val="0"/>
      <w:pageBreakBefore w:val="0"/>
      <w:widowControl w:val="0"/>
      <w:spacing w:after="120" w:before="480" w:lineRule="auto"/>
    </w:pPr>
    <w:rPr>
      <w:sz w:val="48"/>
      <w:szCs w:val="48"/>
    </w:rPr>
  </w:style>
  <w:style w:type="paragraph" w:styleId="Subtitle">
    <w:name w:val="Subtitle"/>
    <w:basedOn w:val="Normal"/>
    <w:next w:val="Normal"/>
    <w:pPr>
      <w:keepNext w:val="0"/>
      <w:keepLines w:val="0"/>
      <w:pageBreakBefore w:val="0"/>
      <w:widowControl w:val="0"/>
      <w:spacing w:after="80" w:before="360" w:line="240" w:lineRule="auto"/>
    </w:pPr>
    <w:rPr>
      <w:i w:val="1"/>
      <w:color w:val="8ea88c"/>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ngpf.org/blog/investing/using-active-learning-to-teach-asset-classes/" TargetMode="External"/><Relationship Id="rId8" Type="http://schemas.openxmlformats.org/officeDocument/2006/relationships/hyperlink" Target="https://novelinvestor.com/asset-class-retur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