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34D6" w:rsidRDefault="009234D6">
      <w:pPr>
        <w:rPr>
          <w:color w:val="0C4599"/>
          <w:sz w:val="12"/>
          <w:szCs w:val="12"/>
        </w:rPr>
      </w:pPr>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9234D6">
        <w:trPr>
          <w:trHeight w:val="600"/>
          <w:jc w:val="right"/>
        </w:trPr>
        <w:tc>
          <w:tcPr>
            <w:tcW w:w="5070" w:type="dxa"/>
            <w:shd w:val="clear" w:color="auto" w:fill="auto"/>
            <w:tcMar>
              <w:top w:w="100" w:type="dxa"/>
              <w:left w:w="100" w:type="dxa"/>
              <w:bottom w:w="100" w:type="dxa"/>
              <w:right w:w="100" w:type="dxa"/>
            </w:tcMar>
          </w:tcPr>
          <w:p w:rsidR="009234D6" w:rsidRDefault="00C4759D">
            <w:pPr>
              <w:rPr>
                <w:b/>
                <w:color w:val="0C4599"/>
                <w:sz w:val="56"/>
                <w:szCs w:val="56"/>
              </w:rPr>
            </w:pPr>
            <w:r>
              <w:rPr>
                <w:noProof/>
                <w:color w:val="0C4599"/>
                <w:sz w:val="56"/>
                <w:szCs w:val="56"/>
                <w:lang w:val="en-US"/>
              </w:rPr>
              <w:drawing>
                <wp:inline distT="114300" distB="114300" distL="114300" distR="114300">
                  <wp:extent cx="2276475" cy="771525"/>
                  <wp:effectExtent l="0" t="0" r="0" b="0"/>
                  <wp:docPr id="1" name="image1.png" descr="NGPF_LG.png"/>
                  <wp:cNvGraphicFramePr/>
                  <a:graphic xmlns:a="http://schemas.openxmlformats.org/drawingml/2006/main">
                    <a:graphicData uri="http://schemas.openxmlformats.org/drawingml/2006/picture">
                      <pic:pic xmlns:pic="http://schemas.openxmlformats.org/drawingml/2006/picture">
                        <pic:nvPicPr>
                          <pic:cNvPr id="0" name="image1.png" descr="NGPF_LG.png"/>
                          <pic:cNvPicPr preferRelativeResize="0"/>
                        </pic:nvPicPr>
                        <pic:blipFill>
                          <a:blip r:embed="rId7"/>
                          <a:srcRect l="6250" t="20833" r="10763" b="22916"/>
                          <a:stretch>
                            <a:fillRect/>
                          </a:stretch>
                        </pic:blipFill>
                        <pic:spPr>
                          <a:xfrm>
                            <a:off x="0" y="0"/>
                            <a:ext cx="2276475" cy="771525"/>
                          </a:xfrm>
                          <a:prstGeom prst="rect">
                            <a:avLst/>
                          </a:prstGeom>
                          <a:ln/>
                        </pic:spPr>
                      </pic:pic>
                    </a:graphicData>
                  </a:graphic>
                </wp:inline>
              </w:drawing>
            </w:r>
          </w:p>
        </w:tc>
        <w:tc>
          <w:tcPr>
            <w:tcW w:w="5715" w:type="dxa"/>
            <w:shd w:val="clear" w:color="auto" w:fill="auto"/>
            <w:tcMar>
              <w:top w:w="100" w:type="dxa"/>
              <w:left w:w="100" w:type="dxa"/>
              <w:bottom w:w="100" w:type="dxa"/>
              <w:right w:w="100" w:type="dxa"/>
            </w:tcMar>
            <w:vAlign w:val="center"/>
          </w:tcPr>
          <w:p w:rsidR="009234D6" w:rsidRDefault="00C4759D">
            <w:pPr>
              <w:pStyle w:val="Heading2"/>
              <w:rPr>
                <w:color w:val="0C4599"/>
              </w:rPr>
            </w:pPr>
            <w:bookmarkStart w:id="0" w:name="_u1a62k50yn12" w:colFirst="0" w:colLast="0"/>
            <w:bookmarkEnd w:id="0"/>
            <w:r>
              <w:rPr>
                <w:color w:val="0C4599"/>
              </w:rPr>
              <w:t>Semester Course</w:t>
            </w:r>
          </w:p>
          <w:p w:rsidR="009234D6" w:rsidRDefault="00C4759D">
            <w:pPr>
              <w:pStyle w:val="Heading2"/>
              <w:rPr>
                <w:color w:val="0C4599"/>
                <w:sz w:val="28"/>
                <w:szCs w:val="28"/>
              </w:rPr>
            </w:pPr>
            <w:bookmarkStart w:id="1" w:name="_w1474kgva19i" w:colFirst="0" w:colLast="0"/>
            <w:bookmarkEnd w:id="1"/>
            <w:r>
              <w:rPr>
                <w:color w:val="0C4599"/>
                <w:sz w:val="28"/>
                <w:szCs w:val="28"/>
              </w:rPr>
              <w:t>2.2 Beware of Banking Fees</w:t>
            </w:r>
          </w:p>
          <w:p w:rsidR="009234D6" w:rsidRDefault="00C4759D">
            <w:pPr>
              <w:pStyle w:val="Heading2"/>
            </w:pPr>
            <w:bookmarkStart w:id="2" w:name="_prx20scfnclh" w:colFirst="0" w:colLast="0"/>
            <w:bookmarkEnd w:id="2"/>
            <w:r>
              <w:rPr>
                <w:color w:val="999999"/>
                <w:sz w:val="28"/>
                <w:szCs w:val="28"/>
              </w:rPr>
              <w:t>Student Activity Packet</w:t>
            </w:r>
          </w:p>
        </w:tc>
      </w:tr>
    </w:tbl>
    <w:p w:rsidR="009234D6" w:rsidRDefault="009234D6">
      <w:pPr>
        <w:pStyle w:val="Heading3"/>
        <w:jc w:val="left"/>
        <w:rPr>
          <w:color w:val="0C4599"/>
          <w:sz w:val="12"/>
          <w:szCs w:val="12"/>
        </w:rPr>
      </w:pPr>
      <w:bookmarkStart w:id="3" w:name="_kvo4ux879ag2" w:colFirst="0" w:colLast="0"/>
      <w:bookmarkEnd w:id="3"/>
    </w:p>
    <w:p w:rsidR="009234D6" w:rsidRDefault="00C4759D">
      <w:pPr>
        <w:pStyle w:val="Heading3"/>
        <w:jc w:val="left"/>
        <w:rPr>
          <w:b w:val="0"/>
          <w:sz w:val="28"/>
          <w:szCs w:val="28"/>
        </w:rPr>
      </w:pPr>
      <w:bookmarkStart w:id="4" w:name="_usiw67s2pg9t" w:colFirst="0" w:colLast="0"/>
      <w:bookmarkEnd w:id="4"/>
      <w:r>
        <w:rPr>
          <w:color w:val="0C4599"/>
          <w:sz w:val="28"/>
          <w:szCs w:val="28"/>
        </w:rPr>
        <w:t>Name:</w:t>
      </w:r>
    </w:p>
    <w:p w:rsidR="009234D6" w:rsidRDefault="009234D6"/>
    <w:tbl>
      <w:tblPr>
        <w:tblStyle w:val="a0"/>
        <w:tblW w:w="1071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0710"/>
      </w:tblGrid>
      <w:tr w:rsidR="009234D6">
        <w:trPr>
          <w:trHeight w:val="420"/>
        </w:trPr>
        <w:tc>
          <w:tcPr>
            <w:tcW w:w="10710" w:type="dxa"/>
            <w:tcBorders>
              <w:top w:val="dotted" w:sz="12" w:space="0" w:color="F6B26B"/>
              <w:left w:val="dotted" w:sz="12" w:space="0" w:color="F6B26B"/>
              <w:bottom w:val="dotted" w:sz="12" w:space="0" w:color="F6B26B"/>
              <w:right w:val="dotted" w:sz="12" w:space="0" w:color="F6B26B"/>
            </w:tcBorders>
            <w:shd w:val="clear" w:color="auto" w:fill="auto"/>
            <w:tcMar>
              <w:top w:w="100" w:type="dxa"/>
              <w:left w:w="100" w:type="dxa"/>
              <w:bottom w:w="100" w:type="dxa"/>
              <w:right w:w="100" w:type="dxa"/>
            </w:tcMar>
          </w:tcPr>
          <w:p w:rsidR="009234D6" w:rsidRDefault="00C4759D">
            <w:pPr>
              <w:pStyle w:val="Heading3"/>
              <w:jc w:val="left"/>
              <w:rPr>
                <w:color w:val="0C4599"/>
                <w:sz w:val="28"/>
                <w:szCs w:val="28"/>
              </w:rPr>
            </w:pPr>
            <w:bookmarkStart w:id="5" w:name="_ed9hhlvvprph" w:colFirst="0" w:colLast="0"/>
            <w:bookmarkEnd w:id="5"/>
            <w:r>
              <w:rPr>
                <w:color w:val="0C4599"/>
                <w:sz w:val="28"/>
                <w:szCs w:val="28"/>
              </w:rPr>
              <w:t xml:space="preserve">In this lesson, you will learn to: </w:t>
            </w:r>
          </w:p>
          <w:p w:rsidR="009234D6" w:rsidRDefault="00C4759D">
            <w:pPr>
              <w:numPr>
                <w:ilvl w:val="0"/>
                <w:numId w:val="6"/>
              </w:numPr>
            </w:pPr>
            <w:r>
              <w:t>Identify common checking account fees and how to avoid them</w:t>
            </w:r>
          </w:p>
          <w:p w:rsidR="009234D6" w:rsidRDefault="00C4759D">
            <w:pPr>
              <w:numPr>
                <w:ilvl w:val="0"/>
                <w:numId w:val="6"/>
              </w:numPr>
            </w:pPr>
            <w:r>
              <w:t>Explain how overdraft protection works and the impact of overdraft fees</w:t>
            </w:r>
          </w:p>
          <w:p w:rsidR="009234D6" w:rsidRDefault="00C4759D">
            <w:pPr>
              <w:numPr>
                <w:ilvl w:val="0"/>
                <w:numId w:val="6"/>
              </w:numPr>
            </w:pPr>
            <w:r>
              <w:t>Read a Checking Account Summary</w:t>
            </w:r>
          </w:p>
          <w:p w:rsidR="009234D6" w:rsidRDefault="00C4759D">
            <w:pPr>
              <w:numPr>
                <w:ilvl w:val="0"/>
                <w:numId w:val="6"/>
              </w:numPr>
            </w:pPr>
            <w:r>
              <w:t>Compare overdraft policies at major US banks</w:t>
            </w:r>
          </w:p>
        </w:tc>
      </w:tr>
    </w:tbl>
    <w:p w:rsidR="009234D6" w:rsidRDefault="009234D6">
      <w:pPr>
        <w:spacing w:line="276" w:lineRule="auto"/>
      </w:pPr>
    </w:p>
    <w:tbl>
      <w:tblPr>
        <w:tblStyle w:val="a1"/>
        <w:tblW w:w="108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3240"/>
        <w:gridCol w:w="7560"/>
      </w:tblGrid>
      <w:tr w:rsidR="009234D6">
        <w:tc>
          <w:tcPr>
            <w:tcW w:w="324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tcPr>
          <w:p w:rsidR="009234D6" w:rsidRDefault="00C4759D">
            <w:pPr>
              <w:pStyle w:val="Heading1"/>
              <w:spacing w:line="276" w:lineRule="auto"/>
              <w:rPr>
                <w:b/>
              </w:rPr>
            </w:pPr>
            <w:bookmarkStart w:id="6" w:name="_lw6q929qgptd" w:colFirst="0" w:colLast="0"/>
            <w:bookmarkEnd w:id="6"/>
            <w:r>
              <w:rPr>
                <w:b/>
              </w:rPr>
              <w:t>Resources</w:t>
            </w:r>
          </w:p>
        </w:tc>
        <w:tc>
          <w:tcPr>
            <w:tcW w:w="756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tcPr>
          <w:p w:rsidR="009234D6" w:rsidRDefault="00C4759D">
            <w:pPr>
              <w:pStyle w:val="Heading3"/>
              <w:spacing w:line="276" w:lineRule="auto"/>
              <w:jc w:val="left"/>
              <w:rPr>
                <w:color w:val="FFFFFF"/>
                <w:sz w:val="24"/>
                <w:szCs w:val="24"/>
              </w:rPr>
            </w:pPr>
            <w:bookmarkStart w:id="7" w:name="_g9bzrrfer0al" w:colFirst="0" w:colLast="0"/>
            <w:bookmarkEnd w:id="7"/>
            <w:r>
              <w:rPr>
                <w:color w:val="FFFFFF"/>
                <w:sz w:val="24"/>
                <w:szCs w:val="24"/>
              </w:rPr>
              <w:t>Questions</w:t>
            </w:r>
          </w:p>
        </w:tc>
      </w:tr>
      <w:tr w:rsidR="009234D6">
        <w:tc>
          <w:tcPr>
            <w:tcW w:w="3240" w:type="dxa"/>
            <w:shd w:val="clear" w:color="auto" w:fill="auto"/>
            <w:tcMar>
              <w:top w:w="100" w:type="dxa"/>
              <w:left w:w="100" w:type="dxa"/>
              <w:bottom w:w="100" w:type="dxa"/>
              <w:right w:w="100" w:type="dxa"/>
            </w:tcMar>
          </w:tcPr>
          <w:p w:rsidR="009234D6" w:rsidRDefault="009234D6"/>
          <w:tbl>
            <w:tblPr>
              <w:tblStyle w:val="a2"/>
              <w:tblW w:w="3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609"/>
            </w:tblGrid>
            <w:tr w:rsidR="009234D6">
              <w:tc>
                <w:tcPr>
                  <w:tcW w:w="431" w:type="dxa"/>
                  <w:shd w:val="clear" w:color="auto" w:fill="auto"/>
                  <w:tcMar>
                    <w:top w:w="0" w:type="dxa"/>
                    <w:left w:w="0" w:type="dxa"/>
                    <w:bottom w:w="0" w:type="dxa"/>
                    <w:right w:w="0" w:type="dxa"/>
                  </w:tcMar>
                </w:tcPr>
                <w:p w:rsidR="009234D6" w:rsidRDefault="00C4759D">
                  <w:pPr>
                    <w:pStyle w:val="Heading2"/>
                    <w:jc w:val="left"/>
                  </w:pPr>
                  <w:bookmarkStart w:id="8" w:name="_p8k2pj7ltzd1" w:colFirst="0" w:colLast="0"/>
                  <w:bookmarkEnd w:id="8"/>
                  <w:r>
                    <w:t>1</w:t>
                  </w:r>
                  <w:r>
                    <w:rPr>
                      <w:b/>
                    </w:rPr>
                    <w:t xml:space="preserve">  </w:t>
                  </w:r>
                </w:p>
              </w:tc>
              <w:tc>
                <w:tcPr>
                  <w:tcW w:w="2608" w:type="dxa"/>
                  <w:shd w:val="clear" w:color="auto" w:fill="auto"/>
                  <w:tcMar>
                    <w:top w:w="0" w:type="dxa"/>
                    <w:left w:w="0" w:type="dxa"/>
                    <w:bottom w:w="0" w:type="dxa"/>
                    <w:right w:w="0" w:type="dxa"/>
                  </w:tcMar>
                </w:tcPr>
                <w:p w:rsidR="009234D6" w:rsidRDefault="00C4759D">
                  <w:pPr>
                    <w:rPr>
                      <w:b/>
                    </w:rPr>
                  </w:pPr>
                  <w:hyperlink r:id="rId8">
                    <w:r>
                      <w:rPr>
                        <w:b/>
                        <w:color w:val="1155CC"/>
                        <w:u w:val="single"/>
                      </w:rPr>
                      <w:t>Discussion Prompts</w:t>
                    </w:r>
                  </w:hyperlink>
                </w:p>
                <w:p w:rsidR="009234D6" w:rsidRDefault="00C4759D">
                  <w:r>
                    <w:t>Discuss these questions with your classmates or with a partner.</w:t>
                  </w:r>
                </w:p>
              </w:tc>
            </w:tr>
          </w:tbl>
          <w:p w:rsidR="009234D6" w:rsidRDefault="009234D6"/>
        </w:tc>
        <w:tc>
          <w:tcPr>
            <w:tcW w:w="7560" w:type="dxa"/>
            <w:shd w:val="clear" w:color="auto" w:fill="auto"/>
            <w:tcMar>
              <w:top w:w="100" w:type="dxa"/>
              <w:left w:w="100" w:type="dxa"/>
              <w:bottom w:w="100" w:type="dxa"/>
              <w:right w:w="100" w:type="dxa"/>
            </w:tcMar>
          </w:tcPr>
          <w:p w:rsidR="009234D6" w:rsidRDefault="00C4759D">
            <w:pPr>
              <w:spacing w:line="276" w:lineRule="auto"/>
              <w:jc w:val="right"/>
              <w:rPr>
                <w:i/>
              </w:rPr>
            </w:pPr>
            <w:r>
              <w:rPr>
                <w:i/>
              </w:rPr>
              <w:t xml:space="preserve">Estimated time: 5 </w:t>
            </w:r>
            <w:proofErr w:type="spellStart"/>
            <w:r>
              <w:rPr>
                <w:i/>
              </w:rPr>
              <w:t>mins</w:t>
            </w:r>
            <w:proofErr w:type="spellEnd"/>
          </w:p>
          <w:p w:rsidR="009234D6" w:rsidRDefault="009234D6">
            <w:pPr>
              <w:spacing w:line="276" w:lineRule="auto"/>
              <w:jc w:val="right"/>
              <w:rPr>
                <w:b/>
                <w:i/>
              </w:rPr>
            </w:pPr>
          </w:p>
          <w:p w:rsidR="009234D6" w:rsidRDefault="00C4759D">
            <w:pPr>
              <w:numPr>
                <w:ilvl w:val="0"/>
                <w:numId w:val="2"/>
              </w:numPr>
            </w:pPr>
            <w:r>
              <w:t>Imagine that you are at an event that you bought tickets for. You want to buy a souvenir from one of the vendors but realize that you don’t have any cash, which is all they accept. You go to the ATM and find that it is going to charge you $3 to withdraw mo</w:t>
            </w:r>
            <w:r>
              <w:t xml:space="preserve">ney from your account. Do you accept it? Why or why not?  </w:t>
            </w:r>
          </w:p>
          <w:p w:rsidR="009234D6" w:rsidRDefault="009234D6">
            <w:pPr>
              <w:spacing w:line="276" w:lineRule="auto"/>
              <w:ind w:left="720"/>
              <w:rPr>
                <w:color w:val="FF0000"/>
              </w:rPr>
            </w:pPr>
          </w:p>
          <w:p w:rsidR="009234D6" w:rsidRDefault="009234D6">
            <w:pPr>
              <w:spacing w:line="276" w:lineRule="auto"/>
              <w:ind w:left="720"/>
              <w:rPr>
                <w:color w:val="FF0000"/>
              </w:rPr>
            </w:pPr>
          </w:p>
          <w:p w:rsidR="009234D6" w:rsidRDefault="009234D6">
            <w:pPr>
              <w:spacing w:line="276" w:lineRule="auto"/>
              <w:ind w:left="720"/>
              <w:rPr>
                <w:color w:val="FF0000"/>
              </w:rPr>
            </w:pPr>
          </w:p>
          <w:p w:rsidR="009234D6" w:rsidRDefault="009234D6">
            <w:pPr>
              <w:spacing w:line="276" w:lineRule="auto"/>
              <w:ind w:left="720"/>
              <w:rPr>
                <w:color w:val="FF0000"/>
              </w:rPr>
            </w:pPr>
          </w:p>
          <w:p w:rsidR="009234D6" w:rsidRDefault="009234D6">
            <w:pPr>
              <w:spacing w:line="276" w:lineRule="auto"/>
              <w:ind w:left="720"/>
              <w:rPr>
                <w:color w:val="FF0000"/>
              </w:rPr>
            </w:pPr>
          </w:p>
          <w:p w:rsidR="009234D6" w:rsidRDefault="009234D6">
            <w:pPr>
              <w:spacing w:line="276" w:lineRule="auto"/>
              <w:ind w:left="720"/>
              <w:rPr>
                <w:color w:val="FF0000"/>
              </w:rPr>
            </w:pPr>
          </w:p>
          <w:p w:rsidR="009234D6" w:rsidRDefault="009234D6">
            <w:pPr>
              <w:spacing w:line="276" w:lineRule="auto"/>
              <w:ind w:left="720"/>
              <w:rPr>
                <w:color w:val="FF0000"/>
              </w:rPr>
            </w:pPr>
          </w:p>
          <w:p w:rsidR="009234D6" w:rsidRDefault="009234D6">
            <w:pPr>
              <w:spacing w:line="276" w:lineRule="auto"/>
              <w:ind w:left="720"/>
              <w:rPr>
                <w:color w:val="FF0000"/>
              </w:rPr>
            </w:pPr>
          </w:p>
        </w:tc>
      </w:tr>
      <w:tr w:rsidR="009234D6">
        <w:tc>
          <w:tcPr>
            <w:tcW w:w="3240" w:type="dxa"/>
            <w:tcMar>
              <w:top w:w="100" w:type="dxa"/>
              <w:left w:w="100" w:type="dxa"/>
              <w:bottom w:w="100" w:type="dxa"/>
              <w:right w:w="100" w:type="dxa"/>
            </w:tcMar>
          </w:tcPr>
          <w:p w:rsidR="009234D6" w:rsidRDefault="009234D6">
            <w:pPr>
              <w:rPr>
                <w:b/>
              </w:rPr>
            </w:pPr>
          </w:p>
          <w:tbl>
            <w:tblPr>
              <w:tblStyle w:val="a3"/>
              <w:tblW w:w="3027" w:type="dxa"/>
              <w:tblLayout w:type="fixed"/>
              <w:tblLook w:val="0600" w:firstRow="0" w:lastRow="0" w:firstColumn="0" w:lastColumn="0" w:noHBand="1" w:noVBand="1"/>
            </w:tblPr>
            <w:tblGrid>
              <w:gridCol w:w="431"/>
              <w:gridCol w:w="2596"/>
            </w:tblGrid>
            <w:tr w:rsidR="009234D6">
              <w:tc>
                <w:tcPr>
                  <w:tcW w:w="431" w:type="dxa"/>
                  <w:shd w:val="clear" w:color="auto" w:fill="auto"/>
                  <w:tcMar>
                    <w:top w:w="0" w:type="dxa"/>
                    <w:left w:w="0" w:type="dxa"/>
                    <w:bottom w:w="0" w:type="dxa"/>
                    <w:right w:w="0" w:type="dxa"/>
                  </w:tcMar>
                </w:tcPr>
                <w:p w:rsidR="009234D6" w:rsidRDefault="00C4759D">
                  <w:pPr>
                    <w:pStyle w:val="Heading2"/>
                    <w:jc w:val="left"/>
                  </w:pPr>
                  <w:bookmarkStart w:id="9" w:name="_vkdlp2lkqwc8" w:colFirst="0" w:colLast="0"/>
                  <w:bookmarkEnd w:id="9"/>
                  <w:r>
                    <w:t xml:space="preserve"> 2</w:t>
                  </w:r>
                </w:p>
              </w:tc>
              <w:tc>
                <w:tcPr>
                  <w:tcW w:w="2595" w:type="dxa"/>
                  <w:shd w:val="clear" w:color="auto" w:fill="auto"/>
                  <w:tcMar>
                    <w:top w:w="0" w:type="dxa"/>
                    <w:left w:w="0" w:type="dxa"/>
                    <w:bottom w:w="0" w:type="dxa"/>
                    <w:right w:w="0" w:type="dxa"/>
                  </w:tcMar>
                </w:tcPr>
                <w:p w:rsidR="009234D6" w:rsidRDefault="00C4759D">
                  <w:pPr>
                    <w:rPr>
                      <w:b/>
                    </w:rPr>
                  </w:pPr>
                  <w:hyperlink r:id="rId9">
                    <w:r>
                      <w:rPr>
                        <w:b/>
                        <w:color w:val="1155CC"/>
                        <w:u w:val="single"/>
                      </w:rPr>
                      <w:t>Bank Overdraft Fees</w:t>
                    </w:r>
                  </w:hyperlink>
                </w:p>
                <w:p w:rsidR="009234D6" w:rsidRDefault="00C4759D">
                  <w:r>
                    <w:t xml:space="preserve">One of the most common fees banks charge is the Overdraft fee. Watch this video to learn what this fee is and what you can do to avoid it. Then, answer the questions at right. </w:t>
                  </w:r>
                </w:p>
              </w:tc>
            </w:tr>
          </w:tbl>
          <w:p w:rsidR="009234D6" w:rsidRDefault="009234D6">
            <w:pPr>
              <w:rPr>
                <w:b/>
              </w:rPr>
            </w:pPr>
          </w:p>
        </w:tc>
        <w:tc>
          <w:tcPr>
            <w:tcW w:w="7560" w:type="dxa"/>
            <w:tcMar>
              <w:top w:w="100" w:type="dxa"/>
              <w:left w:w="100" w:type="dxa"/>
              <w:bottom w:w="100" w:type="dxa"/>
              <w:right w:w="100" w:type="dxa"/>
            </w:tcMar>
          </w:tcPr>
          <w:p w:rsidR="009234D6" w:rsidRDefault="00C4759D">
            <w:pPr>
              <w:spacing w:line="276" w:lineRule="auto"/>
              <w:jc w:val="right"/>
              <w:rPr>
                <w:i/>
              </w:rPr>
            </w:pPr>
            <w:r>
              <w:rPr>
                <w:i/>
              </w:rPr>
              <w:t xml:space="preserve">Estimated time: 5 </w:t>
            </w:r>
            <w:proofErr w:type="spellStart"/>
            <w:r>
              <w:rPr>
                <w:i/>
              </w:rPr>
              <w:t>mins</w:t>
            </w:r>
            <w:proofErr w:type="spellEnd"/>
          </w:p>
          <w:p w:rsidR="009234D6" w:rsidRDefault="009234D6">
            <w:pPr>
              <w:spacing w:line="276" w:lineRule="auto"/>
              <w:jc w:val="right"/>
              <w:rPr>
                <w:i/>
              </w:rPr>
            </w:pPr>
          </w:p>
          <w:p w:rsidR="009234D6" w:rsidRDefault="00C4759D">
            <w:pPr>
              <w:numPr>
                <w:ilvl w:val="0"/>
                <w:numId w:val="3"/>
              </w:numPr>
              <w:spacing w:line="276" w:lineRule="auto"/>
            </w:pPr>
            <w:r>
              <w:t>What is misleading about the term “overdraft protecti</w:t>
            </w:r>
            <w:r>
              <w:t xml:space="preserve">on”? </w:t>
            </w:r>
          </w:p>
          <w:p w:rsidR="009234D6" w:rsidRDefault="009234D6">
            <w:pPr>
              <w:spacing w:line="276" w:lineRule="auto"/>
              <w:rPr>
                <w:color w:val="FF0000"/>
              </w:rPr>
            </w:pPr>
          </w:p>
          <w:p w:rsidR="009234D6" w:rsidRDefault="009234D6">
            <w:pPr>
              <w:spacing w:line="276" w:lineRule="auto"/>
              <w:rPr>
                <w:color w:val="FF0000"/>
              </w:rPr>
            </w:pPr>
          </w:p>
          <w:p w:rsidR="009234D6" w:rsidRDefault="009234D6">
            <w:pPr>
              <w:spacing w:line="276" w:lineRule="auto"/>
              <w:rPr>
                <w:color w:val="FF0000"/>
              </w:rPr>
            </w:pPr>
          </w:p>
          <w:p w:rsidR="009234D6" w:rsidRDefault="009234D6">
            <w:pPr>
              <w:spacing w:line="276" w:lineRule="auto"/>
              <w:rPr>
                <w:color w:val="FF0000"/>
              </w:rPr>
            </w:pPr>
          </w:p>
          <w:p w:rsidR="009234D6" w:rsidRDefault="009234D6">
            <w:pPr>
              <w:spacing w:line="276" w:lineRule="auto"/>
              <w:rPr>
                <w:color w:val="FF0000"/>
              </w:rPr>
            </w:pPr>
          </w:p>
          <w:p w:rsidR="009234D6" w:rsidRDefault="009234D6">
            <w:pPr>
              <w:spacing w:line="276" w:lineRule="auto"/>
              <w:rPr>
                <w:color w:val="FF0000"/>
              </w:rPr>
            </w:pPr>
          </w:p>
          <w:p w:rsidR="009234D6" w:rsidRDefault="00C4759D">
            <w:pPr>
              <w:numPr>
                <w:ilvl w:val="0"/>
                <w:numId w:val="3"/>
              </w:numPr>
              <w:spacing w:line="276" w:lineRule="auto"/>
            </w:pPr>
            <w:r>
              <w:t xml:space="preserve">True or False: Once you are signed up for overdraft protection, you cannot opt out. </w:t>
            </w:r>
          </w:p>
          <w:p w:rsidR="009234D6" w:rsidRDefault="009234D6">
            <w:pPr>
              <w:spacing w:line="276" w:lineRule="auto"/>
              <w:rPr>
                <w:color w:val="FF0000"/>
              </w:rPr>
            </w:pPr>
          </w:p>
          <w:p w:rsidR="009234D6" w:rsidRDefault="009234D6">
            <w:pPr>
              <w:spacing w:line="276" w:lineRule="auto"/>
              <w:rPr>
                <w:color w:val="FF0000"/>
              </w:rPr>
            </w:pPr>
          </w:p>
          <w:p w:rsidR="009234D6" w:rsidRDefault="00C4759D">
            <w:pPr>
              <w:numPr>
                <w:ilvl w:val="0"/>
                <w:numId w:val="3"/>
              </w:numPr>
              <w:spacing w:line="276" w:lineRule="auto"/>
            </w:pPr>
            <w:r>
              <w:t xml:space="preserve">What else did Sharon do to avoid future overdraft fees? </w:t>
            </w:r>
          </w:p>
          <w:p w:rsidR="009234D6" w:rsidRDefault="009234D6">
            <w:pPr>
              <w:spacing w:line="276" w:lineRule="auto"/>
              <w:ind w:left="705"/>
              <w:rPr>
                <w:color w:val="FF0000"/>
              </w:rPr>
            </w:pPr>
          </w:p>
          <w:p w:rsidR="009234D6" w:rsidRDefault="009234D6">
            <w:pPr>
              <w:spacing w:line="276" w:lineRule="auto"/>
              <w:ind w:left="705"/>
              <w:rPr>
                <w:color w:val="FF0000"/>
              </w:rPr>
            </w:pPr>
          </w:p>
          <w:p w:rsidR="009234D6" w:rsidRDefault="009234D6">
            <w:pPr>
              <w:spacing w:line="276" w:lineRule="auto"/>
              <w:ind w:left="705"/>
              <w:rPr>
                <w:color w:val="FF0000"/>
              </w:rPr>
            </w:pPr>
          </w:p>
          <w:p w:rsidR="009234D6" w:rsidRDefault="009234D6">
            <w:pPr>
              <w:spacing w:line="276" w:lineRule="auto"/>
              <w:ind w:left="705"/>
              <w:rPr>
                <w:color w:val="FF0000"/>
              </w:rPr>
            </w:pPr>
          </w:p>
          <w:p w:rsidR="009234D6" w:rsidRDefault="009234D6">
            <w:pPr>
              <w:spacing w:line="276" w:lineRule="auto"/>
              <w:ind w:left="705"/>
              <w:rPr>
                <w:color w:val="FF0000"/>
              </w:rPr>
            </w:pPr>
          </w:p>
          <w:p w:rsidR="009234D6" w:rsidRDefault="009234D6">
            <w:pPr>
              <w:spacing w:line="276" w:lineRule="auto"/>
              <w:ind w:left="705"/>
              <w:rPr>
                <w:color w:val="FF0000"/>
              </w:rPr>
            </w:pPr>
          </w:p>
        </w:tc>
      </w:tr>
      <w:tr w:rsidR="009234D6">
        <w:tc>
          <w:tcPr>
            <w:tcW w:w="3240" w:type="dxa"/>
            <w:shd w:val="clear" w:color="auto" w:fill="auto"/>
            <w:tcMar>
              <w:top w:w="100" w:type="dxa"/>
              <w:left w:w="100" w:type="dxa"/>
              <w:bottom w:w="100" w:type="dxa"/>
              <w:right w:w="100" w:type="dxa"/>
            </w:tcMar>
          </w:tcPr>
          <w:p w:rsidR="009234D6" w:rsidRDefault="009234D6">
            <w:pPr>
              <w:rPr>
                <w:b/>
              </w:rPr>
            </w:pPr>
          </w:p>
          <w:tbl>
            <w:tblPr>
              <w:tblStyle w:val="a4"/>
              <w:tblW w:w="3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609"/>
            </w:tblGrid>
            <w:tr w:rsidR="009234D6">
              <w:tc>
                <w:tcPr>
                  <w:tcW w:w="431" w:type="dxa"/>
                  <w:shd w:val="clear" w:color="auto" w:fill="auto"/>
                  <w:tcMar>
                    <w:top w:w="0" w:type="dxa"/>
                    <w:left w:w="0" w:type="dxa"/>
                    <w:bottom w:w="0" w:type="dxa"/>
                    <w:right w:w="0" w:type="dxa"/>
                  </w:tcMar>
                </w:tcPr>
                <w:p w:rsidR="009234D6" w:rsidRDefault="00C4759D">
                  <w:pPr>
                    <w:pStyle w:val="Heading2"/>
                    <w:jc w:val="left"/>
                  </w:pPr>
                  <w:bookmarkStart w:id="10" w:name="_am4oayfxfcdd" w:colFirst="0" w:colLast="0"/>
                  <w:bookmarkEnd w:id="10"/>
                  <w:r>
                    <w:t>3</w:t>
                  </w:r>
                </w:p>
              </w:tc>
              <w:tc>
                <w:tcPr>
                  <w:tcW w:w="2608" w:type="dxa"/>
                  <w:shd w:val="clear" w:color="auto" w:fill="auto"/>
                  <w:tcMar>
                    <w:top w:w="0" w:type="dxa"/>
                    <w:left w:w="0" w:type="dxa"/>
                    <w:bottom w:w="0" w:type="dxa"/>
                    <w:right w:w="0" w:type="dxa"/>
                  </w:tcMar>
                </w:tcPr>
                <w:p w:rsidR="009234D6" w:rsidRDefault="00C4759D">
                  <w:pPr>
                    <w:rPr>
                      <w:b/>
                    </w:rPr>
                  </w:pPr>
                  <w:hyperlink r:id="rId10">
                    <w:r>
                      <w:rPr>
                        <w:b/>
                        <w:color w:val="1155CC"/>
                        <w:u w:val="single"/>
                      </w:rPr>
                      <w:t>3 Mobile Banking Alerts Everyone Should Activate</w:t>
                    </w:r>
                  </w:hyperlink>
                  <w:r>
                    <w:rPr>
                      <w:b/>
                    </w:rPr>
                    <w:t xml:space="preserve"> </w:t>
                  </w:r>
                </w:p>
                <w:p w:rsidR="009234D6" w:rsidRDefault="00C4759D">
                  <w:r>
                    <w:t>In the previous video, you saw that Sharon had set up some alerts so that she could avoid expensiv</w:t>
                  </w:r>
                  <w:r>
                    <w:t xml:space="preserve">e banking fees. Skim this article to find out what kinds of alerts you can set up so you can avoid fees as well. Then, answer the questions at right. </w:t>
                  </w:r>
                </w:p>
              </w:tc>
            </w:tr>
          </w:tbl>
          <w:p w:rsidR="009234D6" w:rsidRDefault="009234D6">
            <w:pPr>
              <w:rPr>
                <w:b/>
              </w:rPr>
            </w:pPr>
          </w:p>
        </w:tc>
        <w:tc>
          <w:tcPr>
            <w:tcW w:w="7560" w:type="dxa"/>
            <w:shd w:val="clear" w:color="auto" w:fill="auto"/>
            <w:tcMar>
              <w:top w:w="100" w:type="dxa"/>
              <w:left w:w="100" w:type="dxa"/>
              <w:bottom w:w="100" w:type="dxa"/>
              <w:right w:w="100" w:type="dxa"/>
            </w:tcMar>
          </w:tcPr>
          <w:p w:rsidR="009234D6" w:rsidRDefault="00C4759D">
            <w:pPr>
              <w:spacing w:line="276" w:lineRule="auto"/>
              <w:jc w:val="right"/>
              <w:rPr>
                <w:i/>
              </w:rPr>
            </w:pPr>
            <w:r>
              <w:rPr>
                <w:i/>
              </w:rPr>
              <w:t xml:space="preserve">Estimated time: 5 </w:t>
            </w:r>
            <w:proofErr w:type="spellStart"/>
            <w:r>
              <w:rPr>
                <w:i/>
              </w:rPr>
              <w:t>mins</w:t>
            </w:r>
            <w:proofErr w:type="spellEnd"/>
          </w:p>
          <w:p w:rsidR="009234D6" w:rsidRDefault="009234D6">
            <w:pPr>
              <w:spacing w:line="276" w:lineRule="auto"/>
              <w:rPr>
                <w:i/>
              </w:rPr>
            </w:pPr>
          </w:p>
          <w:p w:rsidR="009234D6" w:rsidRDefault="00C4759D">
            <w:pPr>
              <w:numPr>
                <w:ilvl w:val="0"/>
                <w:numId w:val="1"/>
              </w:numPr>
              <w:spacing w:line="276" w:lineRule="auto"/>
            </w:pPr>
            <w:r>
              <w:t xml:space="preserve">In your own words, briefly describe the benefit of each type of alert below: </w:t>
            </w:r>
          </w:p>
          <w:p w:rsidR="009234D6" w:rsidRDefault="00C4759D">
            <w:pPr>
              <w:numPr>
                <w:ilvl w:val="1"/>
                <w:numId w:val="1"/>
              </w:numPr>
              <w:spacing w:line="276" w:lineRule="auto"/>
            </w:pPr>
            <w:r>
              <w:t>Low Balance</w:t>
            </w:r>
          </w:p>
          <w:p w:rsidR="009234D6" w:rsidRDefault="009234D6">
            <w:pPr>
              <w:spacing w:line="276" w:lineRule="auto"/>
              <w:rPr>
                <w:color w:val="FF0000"/>
              </w:rPr>
            </w:pPr>
          </w:p>
          <w:p w:rsidR="009234D6" w:rsidRDefault="009234D6">
            <w:pPr>
              <w:spacing w:line="276" w:lineRule="auto"/>
              <w:rPr>
                <w:color w:val="FF0000"/>
              </w:rPr>
            </w:pPr>
          </w:p>
          <w:p w:rsidR="009234D6" w:rsidRDefault="009234D6">
            <w:pPr>
              <w:spacing w:line="276" w:lineRule="auto"/>
              <w:rPr>
                <w:color w:val="FF0000"/>
              </w:rPr>
            </w:pPr>
          </w:p>
          <w:p w:rsidR="009234D6" w:rsidRDefault="009234D6">
            <w:pPr>
              <w:spacing w:line="276" w:lineRule="auto"/>
            </w:pPr>
          </w:p>
          <w:p w:rsidR="009234D6" w:rsidRDefault="00C4759D">
            <w:pPr>
              <w:numPr>
                <w:ilvl w:val="1"/>
                <w:numId w:val="5"/>
              </w:numPr>
              <w:spacing w:line="276" w:lineRule="auto"/>
            </w:pPr>
            <w:r>
              <w:t xml:space="preserve">Mobile Deposit </w:t>
            </w:r>
          </w:p>
          <w:p w:rsidR="009234D6" w:rsidRDefault="009234D6">
            <w:pPr>
              <w:spacing w:line="276" w:lineRule="auto"/>
              <w:rPr>
                <w:color w:val="FF0000"/>
              </w:rPr>
            </w:pPr>
          </w:p>
          <w:p w:rsidR="009234D6" w:rsidRDefault="009234D6">
            <w:pPr>
              <w:spacing w:line="276" w:lineRule="auto"/>
              <w:rPr>
                <w:color w:val="FF0000"/>
              </w:rPr>
            </w:pPr>
          </w:p>
          <w:p w:rsidR="009234D6" w:rsidRDefault="009234D6">
            <w:pPr>
              <w:spacing w:line="276" w:lineRule="auto"/>
              <w:rPr>
                <w:color w:val="FF0000"/>
              </w:rPr>
            </w:pPr>
          </w:p>
          <w:p w:rsidR="009234D6" w:rsidRDefault="00C4759D">
            <w:pPr>
              <w:numPr>
                <w:ilvl w:val="1"/>
                <w:numId w:val="5"/>
              </w:numPr>
              <w:spacing w:line="276" w:lineRule="auto"/>
            </w:pPr>
            <w:r>
              <w:t>Unusual Activity</w:t>
            </w:r>
          </w:p>
          <w:p w:rsidR="009234D6" w:rsidRDefault="009234D6">
            <w:pPr>
              <w:spacing w:line="276" w:lineRule="auto"/>
              <w:rPr>
                <w:color w:val="FF0000"/>
              </w:rPr>
            </w:pPr>
          </w:p>
          <w:p w:rsidR="009234D6" w:rsidRDefault="009234D6">
            <w:pPr>
              <w:spacing w:line="276" w:lineRule="auto"/>
              <w:rPr>
                <w:color w:val="FF0000"/>
              </w:rPr>
            </w:pPr>
          </w:p>
          <w:p w:rsidR="009234D6" w:rsidRDefault="009234D6">
            <w:pPr>
              <w:spacing w:line="276" w:lineRule="auto"/>
              <w:rPr>
                <w:color w:val="FF0000"/>
              </w:rPr>
            </w:pPr>
          </w:p>
          <w:p w:rsidR="009234D6" w:rsidRDefault="00C4759D">
            <w:pPr>
              <w:numPr>
                <w:ilvl w:val="0"/>
                <w:numId w:val="1"/>
              </w:numPr>
              <w:spacing w:line="276" w:lineRule="auto"/>
            </w:pPr>
            <w:r>
              <w:t xml:space="preserve">While all three of the alerts are highly recommended, which one do you think is most important? Why? </w:t>
            </w:r>
          </w:p>
          <w:p w:rsidR="009234D6" w:rsidRDefault="009234D6">
            <w:pPr>
              <w:spacing w:line="276" w:lineRule="auto"/>
              <w:jc w:val="right"/>
              <w:rPr>
                <w:color w:val="FF0000"/>
              </w:rPr>
            </w:pPr>
          </w:p>
          <w:p w:rsidR="009234D6" w:rsidRDefault="009234D6">
            <w:pPr>
              <w:spacing w:line="276" w:lineRule="auto"/>
              <w:jc w:val="right"/>
              <w:rPr>
                <w:color w:val="FF0000"/>
              </w:rPr>
            </w:pPr>
          </w:p>
          <w:p w:rsidR="009234D6" w:rsidRDefault="009234D6">
            <w:pPr>
              <w:spacing w:line="276" w:lineRule="auto"/>
              <w:jc w:val="right"/>
              <w:rPr>
                <w:color w:val="FF0000"/>
              </w:rPr>
            </w:pPr>
          </w:p>
          <w:p w:rsidR="009234D6" w:rsidRDefault="009234D6">
            <w:pPr>
              <w:spacing w:line="276" w:lineRule="auto"/>
              <w:jc w:val="right"/>
              <w:rPr>
                <w:color w:val="FF0000"/>
              </w:rPr>
            </w:pPr>
          </w:p>
          <w:p w:rsidR="009234D6" w:rsidRDefault="009234D6">
            <w:pPr>
              <w:spacing w:line="276" w:lineRule="auto"/>
              <w:jc w:val="right"/>
              <w:rPr>
                <w:color w:val="FF0000"/>
              </w:rPr>
            </w:pPr>
          </w:p>
        </w:tc>
      </w:tr>
      <w:tr w:rsidR="009234D6">
        <w:tc>
          <w:tcPr>
            <w:tcW w:w="3240" w:type="dxa"/>
            <w:shd w:val="clear" w:color="auto" w:fill="auto"/>
            <w:tcMar>
              <w:top w:w="100" w:type="dxa"/>
              <w:left w:w="100" w:type="dxa"/>
              <w:bottom w:w="100" w:type="dxa"/>
              <w:right w:w="100" w:type="dxa"/>
            </w:tcMar>
          </w:tcPr>
          <w:p w:rsidR="009234D6" w:rsidRDefault="009234D6">
            <w:pPr>
              <w:rPr>
                <w:b/>
              </w:rPr>
            </w:pPr>
          </w:p>
          <w:tbl>
            <w:tblPr>
              <w:tblStyle w:val="a5"/>
              <w:tblW w:w="3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609"/>
            </w:tblGrid>
            <w:tr w:rsidR="009234D6">
              <w:tc>
                <w:tcPr>
                  <w:tcW w:w="431" w:type="dxa"/>
                  <w:shd w:val="clear" w:color="auto" w:fill="auto"/>
                  <w:tcMar>
                    <w:top w:w="0" w:type="dxa"/>
                    <w:left w:w="0" w:type="dxa"/>
                    <w:bottom w:w="0" w:type="dxa"/>
                    <w:right w:w="0" w:type="dxa"/>
                  </w:tcMar>
                </w:tcPr>
                <w:p w:rsidR="009234D6" w:rsidRDefault="00C4759D">
                  <w:pPr>
                    <w:pStyle w:val="Heading2"/>
                    <w:jc w:val="left"/>
                  </w:pPr>
                  <w:bookmarkStart w:id="11" w:name="_8gauo6gkebiq" w:colFirst="0" w:colLast="0"/>
                  <w:bookmarkEnd w:id="11"/>
                  <w:r>
                    <w:t>4</w:t>
                  </w:r>
                </w:p>
              </w:tc>
              <w:tc>
                <w:tcPr>
                  <w:tcW w:w="2608" w:type="dxa"/>
                  <w:shd w:val="clear" w:color="auto" w:fill="auto"/>
                  <w:tcMar>
                    <w:top w:w="0" w:type="dxa"/>
                    <w:left w:w="0" w:type="dxa"/>
                    <w:bottom w:w="0" w:type="dxa"/>
                    <w:right w:w="0" w:type="dxa"/>
                  </w:tcMar>
                </w:tcPr>
                <w:p w:rsidR="009234D6" w:rsidRDefault="00C4759D">
                  <w:pPr>
                    <w:rPr>
                      <w:b/>
                    </w:rPr>
                  </w:pPr>
                  <w:hyperlink r:id="rId11">
                    <w:r>
                      <w:rPr>
                        <w:b/>
                        <w:color w:val="1155CC"/>
                        <w:u w:val="single"/>
                      </w:rPr>
                      <w:t>The Fine Print: Checking Account Agreement</w:t>
                    </w:r>
                  </w:hyperlink>
                  <w:r>
                    <w:rPr>
                      <w:b/>
                    </w:rPr>
                    <w:t xml:space="preserve"> </w:t>
                  </w:r>
                </w:p>
                <w:p w:rsidR="009234D6" w:rsidRDefault="00C4759D">
                  <w:r>
                    <w:t>Each bank has its own terms and fees for different types of accounts. Use this Fine Print activity to get some</w:t>
                  </w:r>
                  <w:r>
                    <w:t xml:space="preserve"> practice reading and understanding these term</w:t>
                  </w:r>
                  <w:r w:rsidR="006B7531">
                    <w:t xml:space="preserve">s. </w:t>
                  </w:r>
                </w:p>
              </w:tc>
            </w:tr>
          </w:tbl>
          <w:p w:rsidR="009234D6" w:rsidRDefault="009234D6">
            <w:pPr>
              <w:rPr>
                <w:b/>
              </w:rPr>
            </w:pPr>
          </w:p>
        </w:tc>
        <w:tc>
          <w:tcPr>
            <w:tcW w:w="7560" w:type="dxa"/>
            <w:shd w:val="clear" w:color="auto" w:fill="auto"/>
            <w:tcMar>
              <w:top w:w="100" w:type="dxa"/>
              <w:left w:w="100" w:type="dxa"/>
              <w:bottom w:w="100" w:type="dxa"/>
              <w:right w:w="100" w:type="dxa"/>
            </w:tcMar>
          </w:tcPr>
          <w:p w:rsidR="009234D6" w:rsidRDefault="00C4759D">
            <w:pPr>
              <w:spacing w:line="276" w:lineRule="auto"/>
              <w:jc w:val="right"/>
              <w:rPr>
                <w:i/>
              </w:rPr>
            </w:pPr>
            <w:r>
              <w:rPr>
                <w:i/>
              </w:rPr>
              <w:t xml:space="preserve">Estimated time: 10 </w:t>
            </w:r>
            <w:proofErr w:type="spellStart"/>
            <w:r>
              <w:rPr>
                <w:i/>
              </w:rPr>
              <w:t>mins</w:t>
            </w:r>
            <w:proofErr w:type="spellEnd"/>
          </w:p>
          <w:p w:rsidR="009234D6" w:rsidRDefault="009234D6">
            <w:pPr>
              <w:spacing w:line="276" w:lineRule="auto"/>
            </w:pPr>
          </w:p>
          <w:p w:rsidR="009234D6" w:rsidRDefault="006B7531">
            <w:pPr>
              <w:spacing w:line="276" w:lineRule="auto"/>
            </w:pPr>
            <w:r>
              <w:t>USE GOOGLE FORM LINK ON OUR WEBSITE TO COMPLETE THIS!!!!</w:t>
            </w:r>
          </w:p>
          <w:p w:rsidR="009234D6" w:rsidRDefault="009234D6">
            <w:pPr>
              <w:spacing w:line="276" w:lineRule="auto"/>
            </w:pPr>
          </w:p>
          <w:p w:rsidR="009234D6" w:rsidRDefault="009234D6">
            <w:pPr>
              <w:spacing w:line="276" w:lineRule="auto"/>
            </w:pPr>
          </w:p>
          <w:p w:rsidR="009234D6" w:rsidRDefault="009234D6">
            <w:pPr>
              <w:spacing w:line="276" w:lineRule="auto"/>
            </w:pPr>
          </w:p>
          <w:p w:rsidR="009234D6" w:rsidRDefault="009234D6">
            <w:pPr>
              <w:spacing w:line="276" w:lineRule="auto"/>
            </w:pPr>
          </w:p>
          <w:p w:rsidR="009234D6" w:rsidRDefault="009234D6">
            <w:pPr>
              <w:spacing w:line="276" w:lineRule="auto"/>
            </w:pPr>
          </w:p>
          <w:p w:rsidR="009234D6" w:rsidRDefault="009234D6">
            <w:pPr>
              <w:spacing w:line="276" w:lineRule="auto"/>
            </w:pPr>
          </w:p>
          <w:p w:rsidR="009234D6" w:rsidRDefault="009234D6">
            <w:pPr>
              <w:spacing w:line="276" w:lineRule="auto"/>
            </w:pPr>
          </w:p>
          <w:p w:rsidR="009234D6" w:rsidRDefault="009234D6">
            <w:pPr>
              <w:spacing w:line="276" w:lineRule="auto"/>
            </w:pPr>
          </w:p>
          <w:p w:rsidR="009234D6" w:rsidRDefault="009234D6">
            <w:pPr>
              <w:spacing w:line="276" w:lineRule="auto"/>
            </w:pPr>
          </w:p>
          <w:p w:rsidR="009234D6" w:rsidRDefault="009234D6">
            <w:pPr>
              <w:spacing w:line="276" w:lineRule="auto"/>
            </w:pPr>
          </w:p>
          <w:p w:rsidR="009234D6" w:rsidRDefault="009234D6">
            <w:pPr>
              <w:spacing w:line="276" w:lineRule="auto"/>
            </w:pPr>
          </w:p>
        </w:tc>
      </w:tr>
      <w:tr w:rsidR="009234D6">
        <w:tc>
          <w:tcPr>
            <w:tcW w:w="3240" w:type="dxa"/>
            <w:shd w:val="clear" w:color="auto" w:fill="auto"/>
            <w:tcMar>
              <w:top w:w="100" w:type="dxa"/>
              <w:left w:w="100" w:type="dxa"/>
              <w:bottom w:w="100" w:type="dxa"/>
              <w:right w:w="100" w:type="dxa"/>
            </w:tcMar>
          </w:tcPr>
          <w:p w:rsidR="009234D6" w:rsidRDefault="009234D6">
            <w:pPr>
              <w:rPr>
                <w:b/>
              </w:rPr>
            </w:pPr>
          </w:p>
          <w:p w:rsidR="009234D6" w:rsidRDefault="009234D6">
            <w:pPr>
              <w:rPr>
                <w:b/>
              </w:rPr>
            </w:pPr>
            <w:bookmarkStart w:id="12" w:name="_hsh6zvuhylat" w:colFirst="0" w:colLast="0"/>
            <w:bookmarkEnd w:id="12"/>
          </w:p>
        </w:tc>
        <w:tc>
          <w:tcPr>
            <w:tcW w:w="7560" w:type="dxa"/>
            <w:shd w:val="clear" w:color="auto" w:fill="auto"/>
            <w:tcMar>
              <w:top w:w="100" w:type="dxa"/>
              <w:left w:w="100" w:type="dxa"/>
              <w:bottom w:w="100" w:type="dxa"/>
              <w:right w:w="100" w:type="dxa"/>
            </w:tcMar>
          </w:tcPr>
          <w:p w:rsidR="009234D6" w:rsidRDefault="009234D6">
            <w:bookmarkStart w:id="13" w:name="_GoBack"/>
            <w:bookmarkEnd w:id="13"/>
          </w:p>
          <w:p w:rsidR="009234D6" w:rsidRDefault="009234D6"/>
          <w:p w:rsidR="009234D6" w:rsidRDefault="009234D6"/>
          <w:p w:rsidR="009234D6" w:rsidRDefault="009234D6"/>
          <w:p w:rsidR="009234D6" w:rsidRDefault="009234D6"/>
          <w:p w:rsidR="009234D6" w:rsidRDefault="009234D6"/>
          <w:p w:rsidR="009234D6" w:rsidRDefault="009234D6"/>
          <w:p w:rsidR="009234D6" w:rsidRDefault="009234D6"/>
          <w:p w:rsidR="009234D6" w:rsidRDefault="009234D6"/>
          <w:p w:rsidR="009234D6" w:rsidRDefault="009234D6"/>
          <w:p w:rsidR="009234D6" w:rsidRDefault="009234D6"/>
          <w:p w:rsidR="009234D6" w:rsidRDefault="009234D6"/>
          <w:p w:rsidR="009234D6" w:rsidRDefault="009234D6"/>
          <w:p w:rsidR="009234D6" w:rsidRDefault="009234D6"/>
        </w:tc>
      </w:tr>
      <w:tr w:rsidR="009234D6">
        <w:tc>
          <w:tcPr>
            <w:tcW w:w="3240" w:type="dxa"/>
            <w:shd w:val="clear" w:color="auto" w:fill="auto"/>
            <w:tcMar>
              <w:top w:w="100" w:type="dxa"/>
              <w:left w:w="100" w:type="dxa"/>
              <w:bottom w:w="100" w:type="dxa"/>
              <w:right w:w="100" w:type="dxa"/>
            </w:tcMar>
          </w:tcPr>
          <w:p w:rsidR="009234D6" w:rsidRDefault="009234D6"/>
          <w:tbl>
            <w:tblPr>
              <w:tblStyle w:val="a7"/>
              <w:tblW w:w="28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431"/>
            </w:tblGrid>
            <w:tr w:rsidR="009234D6">
              <w:tc>
                <w:tcPr>
                  <w:tcW w:w="431" w:type="dxa"/>
                  <w:shd w:val="clear" w:color="auto" w:fill="auto"/>
                  <w:tcMar>
                    <w:top w:w="0" w:type="dxa"/>
                    <w:left w:w="0" w:type="dxa"/>
                    <w:bottom w:w="0" w:type="dxa"/>
                    <w:right w:w="0" w:type="dxa"/>
                  </w:tcMar>
                </w:tcPr>
                <w:p w:rsidR="009234D6" w:rsidRDefault="006B7531">
                  <w:pPr>
                    <w:pStyle w:val="Heading2"/>
                    <w:ind w:right="-75"/>
                    <w:jc w:val="left"/>
                  </w:pPr>
                  <w:bookmarkStart w:id="14" w:name="_3wlmbjga0aor" w:colFirst="0" w:colLast="0"/>
                  <w:bookmarkEnd w:id="14"/>
                  <w:r>
                    <w:t>5</w:t>
                  </w:r>
                </w:p>
              </w:tc>
              <w:tc>
                <w:tcPr>
                  <w:tcW w:w="2430" w:type="dxa"/>
                  <w:shd w:val="clear" w:color="auto" w:fill="auto"/>
                  <w:tcMar>
                    <w:top w:w="0" w:type="dxa"/>
                    <w:left w:w="0" w:type="dxa"/>
                    <w:bottom w:w="0" w:type="dxa"/>
                    <w:right w:w="0" w:type="dxa"/>
                  </w:tcMar>
                </w:tcPr>
                <w:p w:rsidR="009234D6" w:rsidRDefault="00C4759D">
                  <w:hyperlink r:id="rId12">
                    <w:r>
                      <w:rPr>
                        <w:b/>
                        <w:color w:val="1155CC"/>
                        <w:u w:val="single"/>
                      </w:rPr>
                      <w:t>Exit Ticket</w:t>
                    </w:r>
                  </w:hyperlink>
                </w:p>
              </w:tc>
            </w:tr>
          </w:tbl>
          <w:p w:rsidR="009234D6" w:rsidRDefault="009234D6">
            <w:pPr>
              <w:rPr>
                <w:rFonts w:ascii="Arial" w:eastAsia="Arial" w:hAnsi="Arial" w:cs="Arial"/>
                <w:b/>
                <w:sz w:val="22"/>
                <w:szCs w:val="22"/>
              </w:rPr>
            </w:pPr>
          </w:p>
        </w:tc>
        <w:tc>
          <w:tcPr>
            <w:tcW w:w="7560" w:type="dxa"/>
            <w:shd w:val="clear" w:color="auto" w:fill="auto"/>
            <w:tcMar>
              <w:top w:w="100" w:type="dxa"/>
              <w:left w:w="100" w:type="dxa"/>
              <w:bottom w:w="100" w:type="dxa"/>
              <w:right w:w="100" w:type="dxa"/>
            </w:tcMar>
          </w:tcPr>
          <w:p w:rsidR="009234D6" w:rsidRDefault="00C4759D">
            <w:pPr>
              <w:jc w:val="right"/>
            </w:pPr>
            <w:r>
              <w:rPr>
                <w:i/>
              </w:rPr>
              <w:t xml:space="preserve">Estimated time: 5 </w:t>
            </w:r>
            <w:proofErr w:type="spellStart"/>
            <w:r>
              <w:rPr>
                <w:i/>
              </w:rPr>
              <w:t>mins</w:t>
            </w:r>
            <w:proofErr w:type="spellEnd"/>
          </w:p>
          <w:p w:rsidR="009234D6" w:rsidRDefault="009234D6"/>
          <w:p w:rsidR="009234D6" w:rsidRDefault="00C4759D">
            <w:pPr>
              <w:numPr>
                <w:ilvl w:val="0"/>
                <w:numId w:val="4"/>
              </w:numPr>
            </w:pPr>
            <w:r>
              <w:t xml:space="preserve">What is an overdraft fee? </w:t>
            </w:r>
          </w:p>
          <w:p w:rsidR="009234D6" w:rsidRDefault="00C4759D">
            <w:pPr>
              <w:numPr>
                <w:ilvl w:val="1"/>
                <w:numId w:val="4"/>
              </w:numPr>
            </w:pPr>
            <w:r>
              <w:t>Fee for withdrawing more money than you have in the account</w:t>
            </w:r>
          </w:p>
          <w:p w:rsidR="009234D6" w:rsidRDefault="00C4759D">
            <w:pPr>
              <w:numPr>
                <w:ilvl w:val="1"/>
                <w:numId w:val="4"/>
              </w:numPr>
            </w:pPr>
            <w:r>
              <w:t>Fee for writing a check</w:t>
            </w:r>
          </w:p>
          <w:p w:rsidR="009234D6" w:rsidRDefault="00C4759D">
            <w:pPr>
              <w:numPr>
                <w:ilvl w:val="1"/>
                <w:numId w:val="4"/>
              </w:numPr>
            </w:pPr>
            <w:r>
              <w:t>Fee for going below your minimum balance requirement</w:t>
            </w:r>
          </w:p>
          <w:p w:rsidR="009234D6" w:rsidRDefault="009234D6"/>
          <w:p w:rsidR="009234D6" w:rsidRDefault="009234D6"/>
          <w:p w:rsidR="009234D6" w:rsidRDefault="00C4759D">
            <w:pPr>
              <w:numPr>
                <w:ilvl w:val="0"/>
                <w:numId w:val="4"/>
              </w:numPr>
            </w:pPr>
            <w:r>
              <w:t xml:space="preserve">If you have $35 in your checking account and swipe your debit card for a $50 purchase WITH overdraft protection, what most likely happens? </w:t>
            </w:r>
          </w:p>
          <w:p w:rsidR="009234D6" w:rsidRDefault="009234D6"/>
          <w:p w:rsidR="009234D6" w:rsidRDefault="009234D6"/>
          <w:p w:rsidR="009234D6" w:rsidRDefault="009234D6"/>
          <w:p w:rsidR="009234D6" w:rsidRDefault="009234D6"/>
          <w:p w:rsidR="009234D6" w:rsidRDefault="009234D6"/>
          <w:p w:rsidR="009234D6" w:rsidRDefault="009234D6"/>
          <w:p w:rsidR="009234D6" w:rsidRDefault="009234D6"/>
          <w:p w:rsidR="009234D6" w:rsidRDefault="009234D6"/>
          <w:p w:rsidR="009234D6" w:rsidRDefault="00C4759D">
            <w:pPr>
              <w:numPr>
                <w:ilvl w:val="0"/>
                <w:numId w:val="4"/>
              </w:numPr>
            </w:pPr>
            <w:r>
              <w:t xml:space="preserve">Why is it a good idea to set up mobile alerts for your checking account? </w:t>
            </w:r>
          </w:p>
          <w:p w:rsidR="009234D6" w:rsidRDefault="009234D6">
            <w:pPr>
              <w:rPr>
                <w:color w:val="FF0000"/>
              </w:rPr>
            </w:pPr>
          </w:p>
          <w:p w:rsidR="009234D6" w:rsidRDefault="009234D6"/>
          <w:p w:rsidR="009234D6" w:rsidRDefault="009234D6"/>
          <w:p w:rsidR="009234D6" w:rsidRDefault="009234D6"/>
          <w:p w:rsidR="009234D6" w:rsidRDefault="009234D6"/>
          <w:p w:rsidR="009234D6" w:rsidRDefault="009234D6"/>
          <w:p w:rsidR="009234D6" w:rsidRDefault="009234D6"/>
          <w:p w:rsidR="009234D6" w:rsidRDefault="009234D6"/>
          <w:p w:rsidR="009234D6" w:rsidRDefault="009234D6"/>
        </w:tc>
      </w:tr>
    </w:tbl>
    <w:p w:rsidR="009234D6" w:rsidRDefault="009234D6">
      <w:pPr>
        <w:rPr>
          <w:color w:val="0C4599"/>
          <w:sz w:val="12"/>
          <w:szCs w:val="12"/>
        </w:rPr>
      </w:pPr>
    </w:p>
    <w:sectPr w:rsidR="009234D6">
      <w:footerReference w:type="default" r:id="rId13"/>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59D" w:rsidRDefault="00C4759D">
      <w:r>
        <w:separator/>
      </w:r>
    </w:p>
  </w:endnote>
  <w:endnote w:type="continuationSeparator" w:id="0">
    <w:p w:rsidR="00C4759D" w:rsidRDefault="00C4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D6" w:rsidRDefault="00C4759D">
    <w:pPr>
      <w:jc w:val="center"/>
    </w:pPr>
    <w:hyperlink r:id="rId1">
      <w:r>
        <w:rPr>
          <w:color w:val="999999"/>
        </w:rPr>
        <w:t>www.ngpf.org</w:t>
      </w:r>
    </w:hyperlink>
    <w:r>
      <w:rPr>
        <w:color w:val="999999"/>
      </w:rPr>
      <w:tab/>
    </w:r>
    <w:r>
      <w:rPr>
        <w:color w:val="999999"/>
      </w:rPr>
      <w:tab/>
    </w:r>
    <w:r>
      <w:rPr>
        <w:color w:val="999999"/>
      </w:rPr>
      <w:tab/>
    </w:r>
    <w:r>
      <w:rPr>
        <w:color w:val="999999"/>
      </w:rPr>
      <w:tab/>
      <w:t xml:space="preserve"> Last updated: 8/1/19</w:t>
    </w:r>
  </w:p>
  <w:p w:rsidR="009234D6" w:rsidRDefault="00C4759D">
    <w:pPr>
      <w:pBdr>
        <w:top w:val="nil"/>
        <w:left w:val="nil"/>
        <w:bottom w:val="nil"/>
        <w:right w:val="nil"/>
        <w:between w:val="nil"/>
      </w:pBdr>
      <w:jc w:val="right"/>
    </w:pPr>
    <w:r>
      <w:fldChar w:fldCharType="begin"/>
    </w:r>
    <w:r>
      <w:instrText>PAGE</w:instrText>
    </w:r>
    <w:r w:rsidR="006B7531">
      <w:fldChar w:fldCharType="separate"/>
    </w:r>
    <w:r w:rsidR="006B753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59D" w:rsidRDefault="00C4759D">
      <w:r>
        <w:separator/>
      </w:r>
    </w:p>
  </w:footnote>
  <w:footnote w:type="continuationSeparator" w:id="0">
    <w:p w:rsidR="00C4759D" w:rsidRDefault="00C47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42842"/>
    <w:multiLevelType w:val="multilevel"/>
    <w:tmpl w:val="31E2F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19644F"/>
    <w:multiLevelType w:val="multilevel"/>
    <w:tmpl w:val="CA1AC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E7744E"/>
    <w:multiLevelType w:val="multilevel"/>
    <w:tmpl w:val="40D485BA"/>
    <w:lvl w:ilvl="0">
      <w:start w:val="1"/>
      <w:numFmt w:val="decimal"/>
      <w:lvlText w:val="%1."/>
      <w:lvlJc w:val="left"/>
      <w:pPr>
        <w:ind w:left="720" w:hanging="360"/>
      </w:pPr>
      <w:rPr>
        <w:u w:val="none"/>
      </w:rPr>
    </w:lvl>
    <w:lvl w:ilvl="1">
      <w:start w:val="2"/>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3E6543"/>
    <w:multiLevelType w:val="multilevel"/>
    <w:tmpl w:val="31E45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C6A0768"/>
    <w:multiLevelType w:val="multilevel"/>
    <w:tmpl w:val="8F8A1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D4033C1"/>
    <w:multiLevelType w:val="multilevel"/>
    <w:tmpl w:val="5742F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D6"/>
    <w:rsid w:val="006B7531"/>
    <w:rsid w:val="009234D6"/>
    <w:rsid w:val="00C4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3655"/>
  <w15:docId w15:val="{E6308093-D35B-4579-81BC-B71271FD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jc w:val="right"/>
      <w:outlineLvl w:val="1"/>
    </w:pPr>
    <w:rPr>
      <w:i/>
      <w:color w:val="000000"/>
      <w:sz w:val="36"/>
      <w:szCs w:val="36"/>
    </w:rPr>
  </w:style>
  <w:style w:type="paragraph" w:styleId="Heading3">
    <w:name w:val="heading 3"/>
    <w:basedOn w:val="Normal"/>
    <w:next w:val="Normal"/>
    <w:pPr>
      <w:jc w:val="center"/>
      <w:outlineLvl w:val="2"/>
    </w:pPr>
    <w:rPr>
      <w:b/>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sz w:val="48"/>
      <w:szCs w:val="48"/>
    </w:rPr>
  </w:style>
  <w:style w:type="paragraph" w:styleId="Subtitle">
    <w:name w:val="Subtitle"/>
    <w:basedOn w:val="Normal"/>
    <w:next w:val="Normal"/>
    <w:pPr>
      <w:spacing w:before="360" w:after="80"/>
    </w:pPr>
    <w:rPr>
      <w:i/>
      <w:color w:val="8EA88C"/>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open?id=17839tza2Kmgenj0KH_unfMEfgmzJwdqYP1BhcIBkRV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presentation/d/1ofvSJXuDz6NCfEHRem00GSA1GRt6fOCA_hfwoV-NJSE/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bg9S3bvhhZfB17JZEVjyWMWK3_-WZWQYqbOLeV6FFBE/ed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nkrate.com/banking/checking/3-mobile-banking-alerts-everyone-should-activate/" TargetMode="External"/><Relationship Id="rId4" Type="http://schemas.openxmlformats.org/officeDocument/2006/relationships/webSettings" Target="webSettings.xml"/><Relationship Id="rId9" Type="http://schemas.openxmlformats.org/officeDocument/2006/relationships/hyperlink" Target="http://www.consumerreports.org/video/view/money/banking/1674383787001/bank-overdraft-fe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Marynovskyy</cp:lastModifiedBy>
  <cp:revision>2</cp:revision>
  <dcterms:created xsi:type="dcterms:W3CDTF">2019-09-23T13:16:00Z</dcterms:created>
  <dcterms:modified xsi:type="dcterms:W3CDTF">2019-09-23T13:19:00Z</dcterms:modified>
</cp:coreProperties>
</file>