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B864BF" w14:textId="77777777" w:rsidR="00915521" w:rsidRDefault="00915521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915521" w14:paraId="06D0D8C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E31B" w14:textId="77777777" w:rsidR="00915521" w:rsidRDefault="008E75B4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5960F36F" wp14:editId="7767BC1E">
                  <wp:extent cx="2276475" cy="771525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E55FA" w14:textId="77777777" w:rsidR="00915521" w:rsidRDefault="008E75B4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>Semester Course</w:t>
            </w:r>
          </w:p>
          <w:p w14:paraId="0C35497D" w14:textId="77777777" w:rsidR="00915521" w:rsidRDefault="008E75B4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7.4 Investing in Funds</w:t>
            </w:r>
          </w:p>
          <w:p w14:paraId="735108F0" w14:textId="77777777" w:rsidR="00915521" w:rsidRDefault="008E75B4">
            <w:pPr>
              <w:pStyle w:val="Heading2"/>
            </w:pPr>
            <w:bookmarkStart w:id="0" w:name="_prx20scfnclh" w:colFirst="0" w:colLast="0"/>
            <w:bookmarkEnd w:id="0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1519DC75" w14:textId="77777777" w:rsidR="00915521" w:rsidRDefault="00915521">
      <w:pPr>
        <w:pStyle w:val="Heading3"/>
        <w:jc w:val="left"/>
        <w:rPr>
          <w:color w:val="0C4599"/>
          <w:sz w:val="12"/>
          <w:szCs w:val="12"/>
        </w:rPr>
      </w:pPr>
      <w:bookmarkStart w:id="1" w:name="_kvo4ux879ag2" w:colFirst="0" w:colLast="0"/>
      <w:bookmarkEnd w:id="1"/>
    </w:p>
    <w:p w14:paraId="1C2B3FE2" w14:textId="77777777" w:rsidR="00915521" w:rsidRDefault="008E75B4">
      <w:pPr>
        <w:pStyle w:val="Heading3"/>
        <w:jc w:val="left"/>
        <w:rPr>
          <w:b w:val="0"/>
          <w:sz w:val="12"/>
          <w:szCs w:val="12"/>
        </w:rPr>
      </w:pPr>
      <w:bookmarkStart w:id="2" w:name="_6nqhdzq4b6i9" w:colFirst="0" w:colLast="0"/>
      <w:bookmarkEnd w:id="2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423E909A" w14:textId="77777777" w:rsidR="00915521" w:rsidRDefault="00915521">
      <w:pPr>
        <w:spacing w:line="276" w:lineRule="auto"/>
        <w:rPr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915521" w14:paraId="41B68B7A" w14:textId="77777777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3311" w14:textId="77777777" w:rsidR="00915521" w:rsidRDefault="008E75B4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3" w:name="_ed9hhlvvprph" w:colFirst="0" w:colLast="0"/>
            <w:bookmarkEnd w:id="3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6E3A0C2F" w14:textId="77777777" w:rsidR="00915521" w:rsidRDefault="008E75B4">
            <w:pPr>
              <w:numPr>
                <w:ilvl w:val="0"/>
                <w:numId w:val="4"/>
              </w:numPr>
            </w:pPr>
            <w:r>
              <w:t>Explain what Mutual Funds, Index Funds, Exchange Traded Funds, and Target Dates Funds are</w:t>
            </w:r>
          </w:p>
          <w:p w14:paraId="43F24E67" w14:textId="77777777" w:rsidR="00915521" w:rsidRDefault="008E75B4">
            <w:pPr>
              <w:numPr>
                <w:ilvl w:val="0"/>
                <w:numId w:val="4"/>
              </w:numPr>
            </w:pPr>
            <w:r>
              <w:t xml:space="preserve">Understand the impact a brokerage fee has on your investment returns </w:t>
            </w:r>
          </w:p>
        </w:tc>
      </w:tr>
    </w:tbl>
    <w:p w14:paraId="13119ACB" w14:textId="77777777" w:rsidR="00915521" w:rsidRDefault="00915521">
      <w:pPr>
        <w:spacing w:line="276" w:lineRule="auto"/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915521" w14:paraId="23E1C82B" w14:textId="77777777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1E90" w14:textId="77777777" w:rsidR="00915521" w:rsidRDefault="008E75B4">
            <w:pPr>
              <w:pStyle w:val="Heading1"/>
              <w:spacing w:line="276" w:lineRule="auto"/>
              <w:rPr>
                <w:b/>
              </w:rPr>
            </w:pPr>
            <w:bookmarkStart w:id="4" w:name="_lw6q929qgptd" w:colFirst="0" w:colLast="0"/>
            <w:bookmarkEnd w:id="4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325C" w14:textId="77777777" w:rsidR="00915521" w:rsidRDefault="008E75B4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5" w:name="_g9bzrrfer0al" w:colFirst="0" w:colLast="0"/>
            <w:bookmarkEnd w:id="5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915521" w14:paraId="097C925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DDCF" w14:textId="77777777" w:rsidR="00915521" w:rsidRDefault="00915521"/>
          <w:tbl>
            <w:tblPr>
              <w:tblStyle w:val="a2"/>
              <w:tblW w:w="28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9"/>
            </w:tblGrid>
            <w:tr w:rsidR="00915521" w14:paraId="33846A65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20CEA" w14:textId="77777777" w:rsidR="00915521" w:rsidRDefault="008E75B4">
                  <w:pPr>
                    <w:pStyle w:val="Heading2"/>
                    <w:jc w:val="left"/>
                  </w:pPr>
                  <w:bookmarkStart w:id="6" w:name="_p8k2pj7ltzd1" w:colFirst="0" w:colLast="0"/>
                  <w:bookmarkEnd w:id="6"/>
                  <w:r>
                    <w:t>1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6481E" w14:textId="77777777" w:rsidR="00915521" w:rsidRDefault="008E75B4">
                  <w:pPr>
                    <w:rPr>
                      <w:b/>
                    </w:rPr>
                  </w:pPr>
                  <w:hyperlink r:id="rId8">
                    <w:r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1469A24F" w14:textId="77777777" w:rsidR="00915521" w:rsidRDefault="008E75B4">
                  <w:r>
                    <w:t>Discuss this question with your classmates or with a partner.</w:t>
                  </w:r>
                </w:p>
              </w:tc>
            </w:tr>
          </w:tbl>
          <w:p w14:paraId="79F27948" w14:textId="77777777" w:rsidR="00915521" w:rsidRDefault="00915521"/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C221" w14:textId="77777777" w:rsidR="00915521" w:rsidRDefault="008E75B4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04DB5950" w14:textId="77777777" w:rsidR="00915521" w:rsidRDefault="00915521"/>
          <w:p w14:paraId="6DFE060F" w14:textId="77777777" w:rsidR="00915521" w:rsidRDefault="008E75B4">
            <w:pPr>
              <w:numPr>
                <w:ilvl w:val="0"/>
                <w:numId w:val="3"/>
              </w:numPr>
            </w:pPr>
            <w:r>
              <w:t xml:space="preserve">Rather than picking individual stocks and bonds, you can invest your money in funds that include a collection of stocks and </w:t>
            </w:r>
            <w:proofErr w:type="gramStart"/>
            <w:r>
              <w:t>bonds .</w:t>
            </w:r>
            <w:proofErr w:type="gramEnd"/>
            <w:r>
              <w:t xml:space="preserve"> What do you think are the benefits of doing so? </w:t>
            </w:r>
          </w:p>
          <w:p w14:paraId="453B6FE6" w14:textId="77777777" w:rsidR="00915521" w:rsidRDefault="00915521">
            <w:pPr>
              <w:spacing w:line="276" w:lineRule="auto"/>
            </w:pPr>
          </w:p>
          <w:p w14:paraId="1440AD8A" w14:textId="77777777" w:rsidR="00915521" w:rsidRDefault="00915521">
            <w:pPr>
              <w:spacing w:line="276" w:lineRule="auto"/>
            </w:pPr>
          </w:p>
          <w:p w14:paraId="104E3897" w14:textId="77777777" w:rsidR="00915521" w:rsidRDefault="00915521">
            <w:pPr>
              <w:spacing w:line="276" w:lineRule="auto"/>
            </w:pPr>
          </w:p>
          <w:p w14:paraId="23DDA7D6" w14:textId="77777777" w:rsidR="00915521" w:rsidRDefault="00915521"/>
        </w:tc>
      </w:tr>
      <w:tr w:rsidR="00915521" w14:paraId="0D5CA22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CB2D" w14:textId="77777777" w:rsidR="00915521" w:rsidRDefault="00915521">
            <w:pPr>
              <w:rPr>
                <w:b/>
              </w:rPr>
            </w:pPr>
          </w:p>
          <w:tbl>
            <w:tblPr>
              <w:tblStyle w:val="a3"/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915521" w14:paraId="51676DE2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03517" w14:textId="77777777" w:rsidR="00915521" w:rsidRDefault="008E75B4">
                  <w:pPr>
                    <w:pStyle w:val="Heading2"/>
                    <w:jc w:val="left"/>
                  </w:pPr>
                  <w:bookmarkStart w:id="7" w:name="_6hncdm1qxg8f" w:colFirst="0" w:colLast="0"/>
                  <w:bookmarkEnd w:id="7"/>
                  <w:r>
                    <w:t>2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1B8F4" w14:textId="77777777" w:rsidR="00915521" w:rsidRDefault="008E75B4">
                  <w:pPr>
                    <w:rPr>
                      <w:b/>
                    </w:rPr>
                  </w:pPr>
                  <w:hyperlink r:id="rId9">
                    <w:r>
                      <w:rPr>
                        <w:b/>
                        <w:color w:val="1155CC"/>
                        <w:u w:val="single"/>
                      </w:rPr>
                      <w:t>What are Mutual Funds, Index Funds, and ETFs?</w:t>
                    </w:r>
                  </w:hyperlink>
                </w:p>
                <w:p w14:paraId="1AF13D63" w14:textId="77777777" w:rsidR="00915521" w:rsidRDefault="008E75B4">
                  <w:r>
                    <w:t>Let’s take a deeper look at 3 common types of funds that people can invest in by watching this video. Then follow your teacher’s directions t</w:t>
                  </w:r>
                  <w:r>
                    <w:t xml:space="preserve">o answer the questions either within the </w:t>
                  </w:r>
                  <w:proofErr w:type="spellStart"/>
                  <w:r>
                    <w:t>EdPuzzle</w:t>
                  </w:r>
                  <w:proofErr w:type="spellEnd"/>
                  <w:r>
                    <w:t xml:space="preserve"> itself or on this document. </w:t>
                  </w:r>
                </w:p>
                <w:p w14:paraId="33CCC327" w14:textId="77777777" w:rsidR="00915521" w:rsidRDefault="008E75B4">
                  <w:r>
                    <w:rPr>
                      <w:i/>
                    </w:rPr>
                    <w:t xml:space="preserve">NOTE: </w:t>
                  </w:r>
                  <w:proofErr w:type="spellStart"/>
                  <w:r>
                    <w:rPr>
                      <w:i/>
                    </w:rPr>
                    <w:t>EdPuzzle</w:t>
                  </w:r>
                  <w:proofErr w:type="spellEnd"/>
                  <w:r>
                    <w:rPr>
                      <w:i/>
                    </w:rPr>
                    <w:t xml:space="preserve"> videos shuffle answer choices and do not always match the order provided in the lesson here.</w:t>
                  </w:r>
                </w:p>
              </w:tc>
            </w:tr>
          </w:tbl>
          <w:p w14:paraId="07EF5238" w14:textId="77777777" w:rsidR="00915521" w:rsidRDefault="00915521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DD07" w14:textId="77777777" w:rsidR="00915521" w:rsidRDefault="008E75B4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10 mins</w:t>
            </w:r>
          </w:p>
          <w:p w14:paraId="2AF90F3D" w14:textId="77777777" w:rsidR="00915521" w:rsidRDefault="00915521">
            <w:pPr>
              <w:spacing w:line="276" w:lineRule="auto"/>
            </w:pPr>
          </w:p>
          <w:p w14:paraId="2FCA6BC2" w14:textId="77777777" w:rsidR="00915521" w:rsidRDefault="008E75B4">
            <w:pPr>
              <w:numPr>
                <w:ilvl w:val="0"/>
                <w:numId w:val="2"/>
              </w:numPr>
            </w:pPr>
            <w:r>
              <w:t>Which of the following statements about Mu</w:t>
            </w:r>
            <w:r>
              <w:t xml:space="preserve">tual Funds is FALSE? </w:t>
            </w:r>
          </w:p>
          <w:p w14:paraId="0394BEBB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A majority of actively managed mutual funds "beat the market" and are worth the fees they charge. </w:t>
            </w:r>
          </w:p>
          <w:p w14:paraId="7C65C9D2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An advantage of investing in mutual funds is that you don't have to pick individual stocks and bonds. </w:t>
            </w:r>
          </w:p>
          <w:p w14:paraId="67FC7ED7" w14:textId="77777777" w:rsidR="00915521" w:rsidRDefault="008E75B4">
            <w:pPr>
              <w:numPr>
                <w:ilvl w:val="1"/>
                <w:numId w:val="2"/>
              </w:numPr>
            </w:pPr>
            <w:r>
              <w:t>Mutual funds that are actively m</w:t>
            </w:r>
            <w:r>
              <w:t xml:space="preserve">anaged by a fund manager are trying to "beat the market" averages. </w:t>
            </w:r>
          </w:p>
          <w:p w14:paraId="5C9ADA31" w14:textId="77777777" w:rsidR="00915521" w:rsidRDefault="008E75B4">
            <w:pPr>
              <w:numPr>
                <w:ilvl w:val="1"/>
                <w:numId w:val="2"/>
              </w:numPr>
            </w:pPr>
            <w:r>
              <w:t>Mutual fund managers typically charge fees of 1 - 2% on the assets they manage</w:t>
            </w:r>
          </w:p>
          <w:p w14:paraId="3BB16CB5" w14:textId="77777777" w:rsidR="00915521" w:rsidRDefault="00915521"/>
          <w:p w14:paraId="20A42C9B" w14:textId="77777777" w:rsidR="00915521" w:rsidRDefault="008E75B4">
            <w:pPr>
              <w:numPr>
                <w:ilvl w:val="0"/>
                <w:numId w:val="2"/>
              </w:numPr>
            </w:pPr>
            <w:r>
              <w:t xml:space="preserve">Which of the following are TRUE about Index Funds? </w:t>
            </w:r>
          </w:p>
          <w:p w14:paraId="554FE969" w14:textId="77777777" w:rsidR="00915521" w:rsidRDefault="008E75B4">
            <w:pPr>
              <w:numPr>
                <w:ilvl w:val="1"/>
                <w:numId w:val="2"/>
              </w:numPr>
            </w:pPr>
            <w:r>
              <w:t>Index funds are a type of mutual fund.</w:t>
            </w:r>
          </w:p>
          <w:p w14:paraId="75BA3656" w14:textId="77777777" w:rsidR="00915521" w:rsidRDefault="008E75B4">
            <w:pPr>
              <w:numPr>
                <w:ilvl w:val="1"/>
                <w:numId w:val="2"/>
              </w:numPr>
            </w:pPr>
            <w:r>
              <w:t>Index funds have lower fees than actively managed mutual funds.</w:t>
            </w:r>
          </w:p>
          <w:p w14:paraId="03C36F3E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Index funds try to "beat the market."  </w:t>
            </w:r>
          </w:p>
          <w:p w14:paraId="7B8F4382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Index funds are actively managed by fund managers.  </w:t>
            </w:r>
          </w:p>
          <w:p w14:paraId="421DD5F3" w14:textId="77777777" w:rsidR="00915521" w:rsidRDefault="00915521"/>
          <w:p w14:paraId="0DA5B1B5" w14:textId="77777777" w:rsidR="00915521" w:rsidRDefault="008E75B4">
            <w:pPr>
              <w:numPr>
                <w:ilvl w:val="0"/>
                <w:numId w:val="2"/>
              </w:numPr>
            </w:pPr>
            <w:r>
              <w:t>What is the benefit of investing in an Exchange Traded Fund</w:t>
            </w:r>
            <w:r>
              <w:t xml:space="preserve"> (ETF)? </w:t>
            </w:r>
          </w:p>
          <w:p w14:paraId="289F2BD8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ETFs guarantee a higher return than mutual funds. </w:t>
            </w:r>
          </w:p>
          <w:p w14:paraId="7D61D50E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You have more control and flexibility because you can trade ETFs anytime while the market is open. </w:t>
            </w:r>
          </w:p>
          <w:p w14:paraId="2D378741" w14:textId="77777777" w:rsidR="00915521" w:rsidRDefault="008E75B4">
            <w:pPr>
              <w:numPr>
                <w:ilvl w:val="1"/>
                <w:numId w:val="2"/>
              </w:numPr>
            </w:pPr>
            <w:r>
              <w:t xml:space="preserve">An ETF allows you to pick which stocks and bonds you want in the fund. </w:t>
            </w:r>
          </w:p>
          <w:p w14:paraId="464C842E" w14:textId="77777777" w:rsidR="00915521" w:rsidRDefault="008E75B4">
            <w:pPr>
              <w:numPr>
                <w:ilvl w:val="1"/>
                <w:numId w:val="2"/>
              </w:numPr>
            </w:pPr>
            <w:r>
              <w:t>You can trade before the</w:t>
            </w:r>
            <w:r>
              <w:t xml:space="preserve"> market closes for the day for a fee - usually 1%. </w:t>
            </w:r>
          </w:p>
          <w:p w14:paraId="0077C210" w14:textId="77777777" w:rsidR="00915521" w:rsidRDefault="00915521">
            <w:pPr>
              <w:spacing w:line="276" w:lineRule="auto"/>
            </w:pPr>
          </w:p>
        </w:tc>
      </w:tr>
      <w:tr w:rsidR="00915521" w14:paraId="0F167F9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75F3" w14:textId="77777777" w:rsidR="00915521" w:rsidRDefault="00915521">
            <w:pPr>
              <w:rPr>
                <w:b/>
              </w:rPr>
            </w:pPr>
          </w:p>
          <w:p w14:paraId="1C1F744D" w14:textId="77777777" w:rsidR="00915521" w:rsidRDefault="00915521">
            <w:pPr>
              <w:rPr>
                <w:b/>
              </w:rPr>
            </w:pPr>
            <w:bookmarkStart w:id="8" w:name="_kfkg964yrd9a" w:colFirst="0" w:colLast="0"/>
            <w:bookmarkEnd w:id="8"/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57A1" w14:textId="373CAF6C" w:rsidR="00915521" w:rsidRPr="00D90067" w:rsidRDefault="00915521" w:rsidP="00D90067">
            <w:pPr>
              <w:spacing w:line="276" w:lineRule="auto"/>
              <w:rPr>
                <w:i/>
              </w:rPr>
            </w:pPr>
            <w:bookmarkStart w:id="9" w:name="_GoBack"/>
            <w:bookmarkEnd w:id="9"/>
          </w:p>
          <w:p w14:paraId="5C48BDAC" w14:textId="77777777" w:rsidR="00915521" w:rsidRDefault="00915521"/>
          <w:p w14:paraId="6DA15B74" w14:textId="77777777" w:rsidR="00915521" w:rsidRDefault="00915521"/>
          <w:p w14:paraId="623E6787" w14:textId="77777777" w:rsidR="00915521" w:rsidRDefault="00915521">
            <w:pPr>
              <w:spacing w:line="276" w:lineRule="auto"/>
            </w:pPr>
          </w:p>
        </w:tc>
      </w:tr>
      <w:tr w:rsidR="00915521" w14:paraId="5C8F53B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534A" w14:textId="77777777" w:rsidR="00915521" w:rsidRDefault="00915521"/>
          <w:p w14:paraId="0C5074E8" w14:textId="77777777" w:rsidR="00915521" w:rsidRDefault="0091552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0" w:name="_jdxdj38ffo7a" w:colFirst="0" w:colLast="0"/>
            <w:bookmarkEnd w:id="10"/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A3B4" w14:textId="77777777" w:rsidR="00915521" w:rsidRDefault="008E75B4">
            <w:pPr>
              <w:jc w:val="right"/>
              <w:rPr>
                <w:i/>
              </w:rPr>
            </w:pPr>
            <w:r>
              <w:rPr>
                <w:i/>
              </w:rPr>
              <w:t xml:space="preserve">Estimated time: 20 mins </w:t>
            </w:r>
          </w:p>
          <w:p w14:paraId="2511E571" w14:textId="77777777" w:rsidR="00915521" w:rsidRDefault="00915521"/>
          <w:p w14:paraId="3A9BEA9B" w14:textId="77777777" w:rsidR="00915521" w:rsidRDefault="00915521"/>
          <w:p w14:paraId="0A840BE3" w14:textId="77777777" w:rsidR="00915521" w:rsidRDefault="00915521"/>
          <w:p w14:paraId="06C8B333" w14:textId="77777777" w:rsidR="00915521" w:rsidRDefault="00915521"/>
        </w:tc>
      </w:tr>
      <w:tr w:rsidR="00915521" w14:paraId="21C03BD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6E91" w14:textId="77777777" w:rsidR="00915521" w:rsidRDefault="00915521"/>
          <w:tbl>
            <w:tblPr>
              <w:tblStyle w:val="a6"/>
              <w:tblW w:w="286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31"/>
            </w:tblGrid>
            <w:tr w:rsidR="00915521" w14:paraId="78EFFA45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06C2B" w14:textId="3C4E06CF" w:rsidR="00915521" w:rsidRDefault="00D90067">
                  <w:pPr>
                    <w:pStyle w:val="Heading2"/>
                    <w:ind w:right="-75"/>
                    <w:jc w:val="left"/>
                  </w:pPr>
                  <w:bookmarkStart w:id="11" w:name="_g9fmr1qm8nt8" w:colFirst="0" w:colLast="0"/>
                  <w:bookmarkEnd w:id="11"/>
                  <w:r>
                    <w:t>3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29002" w14:textId="77777777" w:rsidR="00915521" w:rsidRDefault="008E75B4">
                  <w:pPr>
                    <w:rPr>
                      <w:b/>
                    </w:rPr>
                  </w:pPr>
                  <w:hyperlink r:id="rId10" w:anchor="slide=id.p">
                    <w:r>
                      <w:rPr>
                        <w:b/>
                        <w:color w:val="1155CC"/>
                        <w:u w:val="single"/>
                      </w:rPr>
                      <w:t>Exit Ticket</w:t>
                    </w:r>
                  </w:hyperlink>
                </w:p>
                <w:p w14:paraId="705B4842" w14:textId="77777777" w:rsidR="00915521" w:rsidRDefault="008E75B4">
                  <w:r>
                    <w:t>Follow your teacher’s directions to complete the Exit Ticket.</w:t>
                  </w:r>
                </w:p>
              </w:tc>
            </w:tr>
          </w:tbl>
          <w:p w14:paraId="2961114B" w14:textId="77777777" w:rsidR="00915521" w:rsidRDefault="0091552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3733" w14:textId="77777777" w:rsidR="00915521" w:rsidRDefault="008E75B4">
            <w:pPr>
              <w:jc w:val="right"/>
              <w:rPr>
                <w:i/>
              </w:rPr>
            </w:pPr>
            <w:r>
              <w:rPr>
                <w:i/>
              </w:rPr>
              <w:t xml:space="preserve">Estimated time: 5 mins </w:t>
            </w:r>
          </w:p>
          <w:p w14:paraId="5A0F67E8" w14:textId="77777777" w:rsidR="00915521" w:rsidRDefault="00915521"/>
          <w:p w14:paraId="1C121AF5" w14:textId="77777777" w:rsidR="00915521" w:rsidRDefault="008E75B4">
            <w:pPr>
              <w:numPr>
                <w:ilvl w:val="0"/>
                <w:numId w:val="5"/>
              </w:numPr>
            </w:pPr>
            <w:r>
              <w:t xml:space="preserve">Describe </w:t>
            </w:r>
            <w:r>
              <w:rPr>
                <w:u w:val="single"/>
              </w:rPr>
              <w:t>one</w:t>
            </w:r>
            <w:r>
              <w:t xml:space="preserve"> of the following in detail: Mutual Fund, Index Fund, ETF. </w:t>
            </w:r>
          </w:p>
          <w:p w14:paraId="7DA0DD27" w14:textId="77777777" w:rsidR="00915521" w:rsidRDefault="00915521"/>
          <w:p w14:paraId="1F510B32" w14:textId="77777777" w:rsidR="00915521" w:rsidRDefault="00915521"/>
          <w:p w14:paraId="0327318B" w14:textId="77777777" w:rsidR="00915521" w:rsidRDefault="00915521"/>
          <w:p w14:paraId="11A453B4" w14:textId="77777777" w:rsidR="00915521" w:rsidRDefault="00915521"/>
          <w:p w14:paraId="682BC854" w14:textId="77777777" w:rsidR="00915521" w:rsidRDefault="008E75B4">
            <w:pPr>
              <w:numPr>
                <w:ilvl w:val="0"/>
                <w:numId w:val="5"/>
              </w:numPr>
            </w:pPr>
            <w:r>
              <w:t>What are 2 benefits of investing in a Target Date Fund (TDF)?</w:t>
            </w:r>
          </w:p>
          <w:p w14:paraId="72B1283D" w14:textId="77777777" w:rsidR="00915521" w:rsidRDefault="00915521"/>
          <w:p w14:paraId="11619151" w14:textId="77777777" w:rsidR="00915521" w:rsidRDefault="00915521"/>
          <w:p w14:paraId="67108C4B" w14:textId="77777777" w:rsidR="00915521" w:rsidRDefault="00915521"/>
          <w:p w14:paraId="00E2F81C" w14:textId="77777777" w:rsidR="00915521" w:rsidRDefault="00915521"/>
          <w:p w14:paraId="1E54FC00" w14:textId="77777777" w:rsidR="00915521" w:rsidRDefault="008E75B4">
            <w:pPr>
              <w:numPr>
                <w:ilvl w:val="0"/>
                <w:numId w:val="5"/>
              </w:numPr>
            </w:pPr>
            <w:r>
              <w:t xml:space="preserve">Explain the effect a high expense ratio has on your investment returns. </w:t>
            </w:r>
          </w:p>
          <w:p w14:paraId="3D545DD3" w14:textId="77777777" w:rsidR="00915521" w:rsidRDefault="00915521"/>
          <w:p w14:paraId="68A0341D" w14:textId="77777777" w:rsidR="00915521" w:rsidRDefault="00915521"/>
          <w:p w14:paraId="64FC3791" w14:textId="77777777" w:rsidR="00915521" w:rsidRDefault="00915521"/>
          <w:p w14:paraId="3AEC9942" w14:textId="77777777" w:rsidR="00915521" w:rsidRDefault="00915521"/>
        </w:tc>
      </w:tr>
    </w:tbl>
    <w:p w14:paraId="66C3754C" w14:textId="77777777" w:rsidR="00915521" w:rsidRDefault="00915521">
      <w:pPr>
        <w:rPr>
          <w:u w:val="single"/>
        </w:rPr>
      </w:pPr>
    </w:p>
    <w:p w14:paraId="7377E389" w14:textId="77777777" w:rsidR="00915521" w:rsidRDefault="00915521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915521">
      <w:footerReference w:type="defaul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BD54" w14:textId="77777777" w:rsidR="008E75B4" w:rsidRDefault="008E75B4">
      <w:r>
        <w:separator/>
      </w:r>
    </w:p>
  </w:endnote>
  <w:endnote w:type="continuationSeparator" w:id="0">
    <w:p w14:paraId="33AA2017" w14:textId="77777777" w:rsidR="008E75B4" w:rsidRDefault="008E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7B80" w14:textId="77777777" w:rsidR="00915521" w:rsidRDefault="008E75B4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9/1/19</w:t>
    </w:r>
  </w:p>
  <w:p w14:paraId="5688867C" w14:textId="77777777" w:rsidR="00915521" w:rsidRDefault="008E75B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D90067">
      <w:fldChar w:fldCharType="separate"/>
    </w:r>
    <w:r w:rsidR="00D900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E6B7" w14:textId="77777777" w:rsidR="008E75B4" w:rsidRDefault="008E75B4">
      <w:r>
        <w:separator/>
      </w:r>
    </w:p>
  </w:footnote>
  <w:footnote w:type="continuationSeparator" w:id="0">
    <w:p w14:paraId="111B6C23" w14:textId="77777777" w:rsidR="008E75B4" w:rsidRDefault="008E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A3A"/>
    <w:multiLevelType w:val="multilevel"/>
    <w:tmpl w:val="24403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F26B55"/>
    <w:multiLevelType w:val="multilevel"/>
    <w:tmpl w:val="CF2EC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0779F8"/>
    <w:multiLevelType w:val="multilevel"/>
    <w:tmpl w:val="06229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F351E0"/>
    <w:multiLevelType w:val="multilevel"/>
    <w:tmpl w:val="8962F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F500A0"/>
    <w:multiLevelType w:val="multilevel"/>
    <w:tmpl w:val="3946B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21"/>
    <w:rsid w:val="008E75B4"/>
    <w:rsid w:val="00915521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7924"/>
  <w15:docId w15:val="{0FD18A77-6A2E-4C9E-B1AE-C0E5259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b1cjYisbfNWAauir33sIRGqGyhj-nCifeFsHWEZhdZA/edit?usp=drive_web&amp;ouid=102464431895731567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gCamXIhUB1Hb0sN3yBbfQTj4mgMVj4I5WHo8N5a7yy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puzzle.com/media/5d34fa1b00a86b40bc8761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Marynovskyy</cp:lastModifiedBy>
  <cp:revision>2</cp:revision>
  <dcterms:created xsi:type="dcterms:W3CDTF">2020-01-15T01:47:00Z</dcterms:created>
  <dcterms:modified xsi:type="dcterms:W3CDTF">2020-01-15T01:47:00Z</dcterms:modified>
</cp:coreProperties>
</file>